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Министерство спорта Российской Федерации</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высшего образования</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Кафедра теории и методики спортивных единоборств и тяжелой атлетики</w:t>
      </w:r>
    </w:p>
    <w:p w:rsidR="00107380" w:rsidRPr="00091AB9" w:rsidRDefault="00107380" w:rsidP="00107380">
      <w:pPr>
        <w:widowControl w:val="0"/>
        <w:numPr>
          <w:ilvl w:val="0"/>
          <w:numId w:val="12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107380" w:rsidRPr="00091AB9" w:rsidTr="0053539F">
        <w:tc>
          <w:tcPr>
            <w:tcW w:w="4617" w:type="dxa"/>
            <w:hideMark/>
          </w:tcPr>
          <w:p w:rsidR="00107380" w:rsidRPr="00091AB9" w:rsidRDefault="00107380" w:rsidP="0053539F">
            <w:pPr>
              <w:spacing w:line="256" w:lineRule="auto"/>
              <w:rPr>
                <w:rFonts w:ascii="Times New Roman" w:eastAsia="Times New Roman" w:hAnsi="Times New Roman" w:cs="Times New Roman"/>
                <w:color w:val="000000"/>
                <w:sz w:val="24"/>
                <w:szCs w:val="24"/>
                <w:lang w:eastAsia="ru-RU"/>
              </w:rPr>
            </w:pPr>
          </w:p>
        </w:tc>
        <w:tc>
          <w:tcPr>
            <w:tcW w:w="4454" w:type="dxa"/>
            <w:hideMark/>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УТВЕРЖДЕНО</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Председатель УМК,</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и.о. проректора по учебной работе</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канд. пед. наук. А.С. Солнцева</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______________________________</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sz w:val="24"/>
                <w:szCs w:val="24"/>
                <w:lang w:eastAsia="ru-RU"/>
              </w:rPr>
              <w:t>«21» июня 2022 г.</w:t>
            </w:r>
            <w:r w:rsidRPr="00091AB9">
              <w:rPr>
                <w:rFonts w:ascii="Times New Roman" w:eastAsia="Times New Roman" w:hAnsi="Times New Roman" w:cs="Times New Roman"/>
                <w:color w:val="000000"/>
                <w:sz w:val="24"/>
                <w:szCs w:val="24"/>
                <w:lang w:eastAsia="ru-RU"/>
              </w:rPr>
              <w:t xml:space="preserve"> </w:t>
            </w:r>
          </w:p>
        </w:tc>
      </w:tr>
    </w:tbl>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РАБОЧАЯ ПРОГРАММА ДИСЦИПЛИНЫ</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FF2492"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FF2492">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107380" w:rsidRPr="00FF2492" w:rsidRDefault="00107380" w:rsidP="0010738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Б1.О.30</w:t>
      </w:r>
      <w:r w:rsidRPr="00FF2492">
        <w:rPr>
          <w:rFonts w:ascii="Times New Roman" w:eastAsia="Times New Roman" w:hAnsi="Times New Roman" w:cs="Times New Roman"/>
          <w:b/>
          <w:iCs/>
          <w:color w:val="000000"/>
          <w:sz w:val="24"/>
          <w:szCs w:val="24"/>
          <w:lang w:eastAsia="ru-RU"/>
        </w:rPr>
        <w:t>.06</w:t>
      </w:r>
    </w:p>
    <w:p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Направление подготовки</w:t>
      </w:r>
      <w:r w:rsidRPr="00091AB9">
        <w:rPr>
          <w:rFonts w:ascii="Times New Roman" w:eastAsia="Times New Roman" w:hAnsi="Times New Roman" w:cs="Times New Roman"/>
          <w:color w:val="000000"/>
          <w:sz w:val="24"/>
          <w:szCs w:val="24"/>
          <w:lang w:eastAsia="ru-RU"/>
        </w:rPr>
        <w:t xml:space="preserve"> </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49.03.01</w:t>
      </w:r>
      <w:r w:rsidRPr="00091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Физическая культура</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 xml:space="preserve">Наименование ОПОП </w:t>
      </w:r>
    </w:p>
    <w:p w:rsidR="00107380" w:rsidRPr="009A4373" w:rsidRDefault="00107380" w:rsidP="00107380">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«Физкультурное образование»</w:t>
      </w:r>
    </w:p>
    <w:p w:rsidR="00107380" w:rsidRPr="009A4373" w:rsidRDefault="00107380" w:rsidP="00107380">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Квалификация выпускника</w:t>
      </w:r>
    </w:p>
    <w:p w:rsidR="00107380" w:rsidRPr="009A4373"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Форма обучения</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очная/заочная</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85" w:type="dxa"/>
        <w:tblInd w:w="-709" w:type="dxa"/>
        <w:tblLayout w:type="fixed"/>
        <w:tblLook w:val="04A0" w:firstRow="1" w:lastRow="0" w:firstColumn="1" w:lastColumn="0" w:noHBand="0" w:noVBand="1"/>
      </w:tblPr>
      <w:tblGrid>
        <w:gridCol w:w="3543"/>
        <w:gridCol w:w="3400"/>
        <w:gridCol w:w="3542"/>
      </w:tblGrid>
      <w:tr w:rsidR="00107380" w:rsidRPr="00091AB9" w:rsidTr="0053539F">
        <w:trPr>
          <w:trHeight w:val="3026"/>
        </w:trPr>
        <w:tc>
          <w:tcPr>
            <w:tcW w:w="3544"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Декан социально-педагогического факультета, канд. психол. наук., доцент</w:t>
            </w:r>
          </w:p>
          <w:p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___________В.А. Дерючева </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«21» июня 2022 г.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Декан факультета</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 заочной формы обучения, канд. пед. наук., профессор</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_____________В.Х Шнайдер</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sz w:val="24"/>
                <w:szCs w:val="24"/>
                <w:lang w:eastAsia="ru-RU"/>
              </w:rPr>
              <w:t>«21» июня 2022 г.</w:t>
            </w:r>
            <w:r w:rsidRPr="00091AB9">
              <w:rPr>
                <w:rFonts w:ascii="Times New Roman" w:eastAsia="Times New Roman" w:hAnsi="Times New Roman" w:cs="Times New Roman"/>
                <w:color w:val="000000"/>
                <w:sz w:val="24"/>
                <w:szCs w:val="24"/>
                <w:lang w:eastAsia="ru-RU"/>
              </w:rPr>
              <w:t xml:space="preserve">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№10,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«16» июня 2022 г.)</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Заведующий кафедрой,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д.б.н., профессор В.С. Беляев.</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____________________</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«16» июня 2022 г.</w:t>
            </w:r>
          </w:p>
        </w:tc>
      </w:tr>
    </w:tbl>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Малаховка 2022</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w:t>
      </w:r>
      <w:r w:rsidR="00B2570E">
        <w:rPr>
          <w:rFonts w:ascii="Times New Roman" w:eastAsia="Times New Roman" w:hAnsi="Times New Roman" w:cs="Times New Roman"/>
          <w:color w:val="000000"/>
          <w:sz w:val="24"/>
          <w:szCs w:val="24"/>
          <w:lang w:eastAsia="ru-RU"/>
        </w:rPr>
        <w:t xml:space="preserve">науки и высшего </w:t>
      </w:r>
      <w:r w:rsidRPr="009A4373">
        <w:rPr>
          <w:rFonts w:ascii="Times New Roman" w:eastAsia="Times New Roman" w:hAnsi="Times New Roman" w:cs="Times New Roman"/>
          <w:color w:val="000000"/>
          <w:sz w:val="24"/>
          <w:szCs w:val="24"/>
          <w:lang w:eastAsia="ru-RU"/>
        </w:rPr>
        <w:t>образования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Фураев А.Н. к.п.н.,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Зулаев И.И. к.п.н.,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Аббрев.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950EB4"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bl>
    <w:p w:rsidR="009A4373" w:rsidRPr="00564EDF" w:rsidRDefault="009A4373" w:rsidP="0053539F">
      <w:pPr>
        <w:pStyle w:val="a3"/>
        <w:keepNext/>
        <w:keepLines/>
        <w:pageBreakBefore/>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основных физических качеств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50EB4" w:rsidRPr="009A4373" w:rsidTr="00564EDF">
        <w:trPr>
          <w:jc w:val="center"/>
        </w:trPr>
        <w:tc>
          <w:tcPr>
            <w:tcW w:w="1838" w:type="dxa"/>
          </w:tcPr>
          <w:p w:rsidR="00950EB4" w:rsidRPr="009A4373" w:rsidRDefault="00950EB4" w:rsidP="00950EB4">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rsidR="00950EB4" w:rsidRPr="009A4373" w:rsidRDefault="00950EB4" w:rsidP="00950EB4">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rsidR="00950EB4" w:rsidRPr="009A4373" w:rsidRDefault="00950EB4" w:rsidP="00950EB4">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50EB4" w:rsidRPr="001313FC" w:rsidRDefault="00950EB4" w:rsidP="00950EB4">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z w:val="24"/>
                <w:szCs w:val="24"/>
                <w:lang w:val="en-US" w:eastAsia="ru-RU"/>
              </w:rPr>
              <w:t>D</w:t>
            </w:r>
            <w:r>
              <w:rPr>
                <w:rFonts w:ascii="Times New Roman" w:eastAsia="Times New Roman" w:hAnsi="Times New Roman" w:cs="Times New Roman"/>
                <w:b/>
                <w:color w:val="000000"/>
                <w:sz w:val="24"/>
                <w:szCs w:val="24"/>
                <w:lang w:eastAsia="ru-RU"/>
              </w:rPr>
              <w:t>/02</w:t>
            </w:r>
            <w:r w:rsidRPr="009A4373">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 </w:t>
            </w:r>
          </w:p>
        </w:tc>
        <w:tc>
          <w:tcPr>
            <w:tcW w:w="4401" w:type="dxa"/>
          </w:tcPr>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ОПК-1.1. Знает:</w:t>
            </w:r>
          </w:p>
          <w:p w:rsidR="00950EB4" w:rsidRPr="009A4373" w:rsidRDefault="00950EB4" w:rsidP="00950EB4">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50EB4" w:rsidRPr="009A4373" w:rsidRDefault="00950EB4" w:rsidP="00950EB4">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50EB4" w:rsidRPr="009A4373" w:rsidRDefault="00950EB4" w:rsidP="00950EB4">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50EB4" w:rsidRPr="009A4373" w:rsidRDefault="00950EB4" w:rsidP="00950EB4">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50EB4" w:rsidRPr="009A4373" w:rsidRDefault="00950EB4" w:rsidP="00950EB4">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50EB4" w:rsidRPr="009A4373" w:rsidRDefault="00950EB4" w:rsidP="00950EB4">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50EB4" w:rsidRPr="009A4373" w:rsidRDefault="00950EB4" w:rsidP="00950EB4">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50EB4" w:rsidRPr="009A4373" w:rsidRDefault="00950EB4" w:rsidP="00950EB4">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50EB4" w:rsidRPr="009A4373" w:rsidRDefault="00950EB4" w:rsidP="00950EB4">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50EB4" w:rsidRPr="009A4373" w:rsidRDefault="00950EB4" w:rsidP="00950EB4">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50EB4" w:rsidRPr="009A4373" w:rsidRDefault="00950EB4" w:rsidP="00950EB4">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50EB4" w:rsidRPr="009A4373" w:rsidTr="00564EDF">
        <w:trPr>
          <w:jc w:val="center"/>
        </w:trPr>
        <w:tc>
          <w:tcPr>
            <w:tcW w:w="1838" w:type="dxa"/>
          </w:tcPr>
          <w:p w:rsidR="00950EB4" w:rsidRPr="009A4373" w:rsidRDefault="00950EB4" w:rsidP="00950EB4">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50EB4" w:rsidRPr="009A4373" w:rsidRDefault="00950EB4" w:rsidP="00950EB4">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50EB4" w:rsidRPr="009A4373" w:rsidRDefault="00950EB4" w:rsidP="00950EB4">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50EB4" w:rsidRPr="009A4373" w:rsidRDefault="00950EB4" w:rsidP="00950EB4">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50EB4" w:rsidRPr="009A4373" w:rsidRDefault="00950EB4" w:rsidP="00950EB4">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50EB4" w:rsidRPr="009A4373" w:rsidRDefault="00950EB4" w:rsidP="00950EB4">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приемы самостраховки, помощи и страховки при проведении занятий с отягощениями;</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50EB4" w:rsidRPr="009A4373" w:rsidRDefault="00950EB4" w:rsidP="00950EB4">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50EB4" w:rsidRPr="009A4373" w:rsidRDefault="00950EB4" w:rsidP="00950EB4">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50EB4" w:rsidRPr="009A4373" w:rsidRDefault="00950EB4" w:rsidP="00950EB4">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техники страховки и самостраховки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50EB4" w:rsidRPr="009A4373" w:rsidRDefault="00950EB4" w:rsidP="00950EB4">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50EB4" w:rsidRPr="009A4373" w:rsidRDefault="00950EB4" w:rsidP="00950EB4">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50EB4" w:rsidRPr="009A4373" w:rsidTr="00564EDF">
        <w:trPr>
          <w:trHeight w:val="286"/>
          <w:jc w:val="center"/>
        </w:trPr>
        <w:tc>
          <w:tcPr>
            <w:tcW w:w="1838" w:type="dxa"/>
          </w:tcPr>
          <w:p w:rsidR="00950EB4" w:rsidRPr="009A4373" w:rsidRDefault="00950EB4" w:rsidP="00950EB4">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50EB4" w:rsidRPr="009A4373" w:rsidRDefault="00950EB4" w:rsidP="00950EB4">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50EB4" w:rsidRPr="009A4373" w:rsidRDefault="00950EB4" w:rsidP="00950EB4">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bookmarkStart w:id="0" w:name="_GoBack"/>
            <w:bookmarkEnd w:id="0"/>
          </w:p>
        </w:tc>
        <w:tc>
          <w:tcPr>
            <w:tcW w:w="4401" w:type="dxa"/>
          </w:tcPr>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ОПК-7.1 Знает:</w:t>
            </w:r>
          </w:p>
          <w:p w:rsidR="00950EB4" w:rsidRPr="009A4373" w:rsidRDefault="00950EB4" w:rsidP="00950EB4">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50EB4" w:rsidRPr="009A4373" w:rsidRDefault="00950EB4" w:rsidP="00950EB4">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50EB4" w:rsidRPr="009A4373" w:rsidRDefault="00950EB4" w:rsidP="00950EB4">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50EB4" w:rsidRPr="009A4373" w:rsidRDefault="00950EB4" w:rsidP="00950EB4">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50EB4" w:rsidRPr="009A4373" w:rsidRDefault="00950EB4" w:rsidP="00950EB4">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50EB4" w:rsidRPr="009A4373" w:rsidRDefault="00950EB4" w:rsidP="00950EB4">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50EB4" w:rsidRPr="009A4373" w:rsidRDefault="00950EB4" w:rsidP="00950EB4">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50EB4" w:rsidRPr="009A4373" w:rsidRDefault="00950EB4" w:rsidP="00950EB4">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50EB4" w:rsidRPr="009A4373" w:rsidRDefault="00950EB4" w:rsidP="00950EB4">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50EB4" w:rsidRPr="009A4373" w:rsidRDefault="00950EB4" w:rsidP="00950EB4">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50EB4" w:rsidRPr="009A4373" w:rsidRDefault="00950EB4" w:rsidP="00950EB4">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50EB4" w:rsidRPr="009A4373" w:rsidRDefault="00950EB4" w:rsidP="00950EB4">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50EB4" w:rsidRPr="009A4373" w:rsidRDefault="00950EB4" w:rsidP="00950EB4">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50EB4" w:rsidRPr="009A4373" w:rsidRDefault="00950EB4" w:rsidP="00950EB4">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50EB4" w:rsidRPr="009A4373" w:rsidRDefault="00950EB4" w:rsidP="00950EB4">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50EB4" w:rsidRPr="009A4373" w:rsidRDefault="00950EB4" w:rsidP="00950EB4">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2F3BC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w:t>
      </w:r>
      <w:r w:rsidR="002F3BC6">
        <w:rPr>
          <w:rFonts w:ascii="Times New Roman" w:eastAsia="Times New Roman" w:hAnsi="Times New Roman" w:cs="Times New Roman"/>
          <w:color w:val="000000"/>
          <w:spacing w:val="-1"/>
          <w:sz w:val="24"/>
          <w:szCs w:val="24"/>
          <w:lang w:eastAsia="ru-RU"/>
        </w:rPr>
        <w:t xml:space="preserve">тносится к обязательной части. </w:t>
      </w:r>
      <w:r w:rsidRPr="009A437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 5 семестре в очной форме обучения, в 8 семестре в заочной форме обучения. Вид промежуточной аттестации: зачет. </w:t>
      </w: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2F3BC6" w:rsidRPr="009A4373" w:rsidRDefault="002F3BC6"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очная форма обучения</w:t>
      </w: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c>
          <w:tcPr>
            <w:tcW w:w="1275"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c>
          <w:tcPr>
            <w:tcW w:w="1275" w:type="dxa"/>
            <w:vAlign w:val="center"/>
          </w:tcPr>
          <w:p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275" w:type="dxa"/>
            <w:vAlign w:val="center"/>
          </w:tcPr>
          <w:p w:rsidR="009A4373" w:rsidRPr="009A4373" w:rsidRDefault="002F3BC6" w:rsidP="002F3BC6">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заочная форма обучения</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134"/>
        <w:gridCol w:w="1276"/>
      </w:tblGrid>
      <w:tr w:rsidR="009A4373" w:rsidRPr="009A4373" w:rsidTr="00564EDF">
        <w:trPr>
          <w:jc w:val="center"/>
        </w:trPr>
        <w:tc>
          <w:tcPr>
            <w:tcW w:w="4678"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113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8"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13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6" w:type="dxa"/>
            <w:tcBorders>
              <w:lef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8</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8</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8</w:t>
            </w:r>
          </w:p>
        </w:tc>
      </w:tr>
      <w:tr w:rsidR="009A4373" w:rsidRPr="009A4373" w:rsidTr="00564EDF">
        <w:trPr>
          <w:trHeight w:val="848"/>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113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1276"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64</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64</w:t>
            </w:r>
          </w:p>
        </w:tc>
      </w:tr>
      <w:tr w:rsidR="009A4373" w:rsidRPr="009A4373" w:rsidTr="00564EDF">
        <w:trPr>
          <w:jc w:val="center"/>
        </w:trPr>
        <w:tc>
          <w:tcPr>
            <w:tcW w:w="4678"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410"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268"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410"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268"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113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Материально-техническое </w:t>
            </w:r>
            <w:r w:rsidRPr="009A4373">
              <w:rPr>
                <w:rFonts w:ascii="Times New Roman" w:eastAsia="Times New Roman" w:hAnsi="Times New Roman" w:cs="Times New Roman"/>
                <w:sz w:val="24"/>
                <w:szCs w:val="24"/>
                <w:lang w:eastAsia="ru-RU"/>
              </w:rPr>
              <w:lastRenderedPageBreak/>
              <w:t>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Характеристика залов для занятий атлетическими видами спорта. Перечень необходимого оборудования для </w:t>
            </w:r>
            <w:r w:rsidRPr="009A4373">
              <w:rPr>
                <w:rFonts w:ascii="Times New Roman" w:eastAsia="Times New Roman" w:hAnsi="Times New Roman" w:cs="Times New Roman"/>
                <w:sz w:val="24"/>
                <w:szCs w:val="24"/>
                <w:lang w:eastAsia="ru-RU"/>
              </w:rPr>
              <w:lastRenderedPageBreak/>
              <w:t>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Распределение учебных часов по разделам и видам учебных занятий: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очная форма обучения</w:t>
      </w: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заочная форма обучения</w:t>
      </w:r>
    </w:p>
    <w:tbl>
      <w:tblPr>
        <w:tblW w:w="96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7"/>
        <w:gridCol w:w="855"/>
        <w:gridCol w:w="991"/>
      </w:tblGrid>
      <w:tr w:rsidR="009A4373" w:rsidRPr="009A4373" w:rsidTr="00564EDF">
        <w:trPr>
          <w:trHeight w:val="33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2"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7"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5"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14</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707"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5"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тренировки : учебник для высших учебных заведений / Г. П. Виноградов. - М. : Советский спорт, 2009. - 328 с. - Библиогр.: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зале : учебное пособие для студентов вузов физической культуры / К. Г. Терзи ; МГАФК. - Малаховка, 2015. - 297 с. : ил. - Библиогр.: с. 292-293. - 217.00.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зале : учебное пособие / К. Г. Терзи ; МГАФК. - Малаховка, 2015. - Текст : электронный // Электронно-библиотечная система ЭЛМАРК (МГАФК) : [сайт]. — </w:t>
            </w:r>
            <w:hyperlink r:id="rId6"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Атлетизм : учебное пособие / А. Х. Талибов, Д. Д. Дальский, А. А. Алексеев ; НГУФК им. П. Ф. Лесгафта. - Санкт-Петербург, 2015. - Бибилогр.: с. 46-47. - Текст :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студентов : учебно-методическое пособие / С. В. Быченков. — Саратов : Вузовское образование, 2016. — 50 c. — ISBN 2227-8397. — Текст : электронный // Электронно-библиотечная система IPR BOOKS : [сайт]. — URL: </w:t>
            </w:r>
            <w:hyperlink r:id="rId8"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тренировки : учебник / Г. П. Виноградов, И. Г. Виноградов. — Москва : Издательство «Спорт», 2017. — 408 c. — ISBN 978-5-906839-30-5. — Текст :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9A4373">
      <w:pPr>
        <w:pageBreakBefore/>
        <w:widowControl w:val="0"/>
        <w:autoSpaceDE w:val="0"/>
        <w:autoSpaceDN w:val="0"/>
        <w:adjustRightInd w:val="0"/>
        <w:spacing w:before="108" w:after="108"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lastRenderedPageBreak/>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пауэрлифтинге : учебное пособие / Ю. Ф. Назаренко, С. Ю. Тё, В. М. Дурненко ; СибГАФК. - Омск, 2001. - 128 с. :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Дону : Феникс, 2001. - 384 с. - ISBN 5-222-01940-3 : 77.00.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Вейдер Д.</w:t>
            </w:r>
            <w:r w:rsidRPr="009A4373">
              <w:rPr>
                <w:rFonts w:ascii="Times New Roman" w:eastAsia="Times New Roman" w:hAnsi="Times New Roman" w:cs="Times New Roman"/>
                <w:sz w:val="24"/>
                <w:szCs w:val="24"/>
                <w:lang w:eastAsia="ru-RU"/>
              </w:rPr>
              <w:t xml:space="preserve">   Система строительства тела : учебно-методическое пособие / Д. Вейдер ; пер. с англ. Л. А. Остапенко. - Москва : Физкультура и спорт, 1991. - 112 с. : ил. - ISBN 5-278-00212-3 : 25.00.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каждому : учебное пособие / А. Н. Сурков ; СПбГУФК. - Санкт-Петербург, 1999. - Текст : электронный // Электронно-библиотечная система ЭЛМАРК (МГАФК) : [сайт]. — </w:t>
            </w:r>
            <w:hyperlink r:id="rId10"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бодибилдеров : учебно-методическое пособие / В. Д. Зверев, Ю. А. Смирнов ; СПбГАФК им. П. Ф. Лесгафта. - Санкт-Петербург, 2002. - ил. - Библиогр.: с. 38-39. - Текст :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авторизир.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9A4373">
      <w:pPr>
        <w:spacing w:after="0" w:line="240" w:lineRule="auto"/>
        <w:rPr>
          <w:rFonts w:ascii="Times New Roman" w:eastAsia="Times New Roman" w:hAnsi="Times New Roman" w:cs="Times New Roman"/>
          <w:sz w:val="20"/>
          <w:szCs w:val="20"/>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2"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Elibrary </w:t>
      </w:r>
      <w:hyperlink r:id="rId13"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IPRbooks </w:t>
      </w:r>
      <w:hyperlink r:id="rId14"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«Юрайт» </w:t>
      </w:r>
      <w:hyperlink r:id="rId15"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6"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564EDF">
        <w:rPr>
          <w:rFonts w:ascii="Times New Roman" w:eastAsia="Calibri" w:hAnsi="Times New Roman" w:cs="Times New Roman"/>
          <w:color w:val="2F2F2F"/>
          <w:sz w:val="24"/>
          <w:szCs w:val="24"/>
        </w:rPr>
        <w:t xml:space="preserve">Министерство </w:t>
      </w:r>
      <w:r w:rsidR="00D20C4C">
        <w:rPr>
          <w:rFonts w:ascii="Times New Roman" w:eastAsia="Calibri" w:hAnsi="Times New Roman" w:cs="Times New Roman"/>
          <w:color w:val="2F2F2F"/>
          <w:sz w:val="24"/>
          <w:szCs w:val="24"/>
        </w:rPr>
        <w:t xml:space="preserve">науки и высшего </w:t>
      </w:r>
      <w:r w:rsidRPr="00564EDF">
        <w:rPr>
          <w:rFonts w:ascii="Times New Roman" w:eastAsia="Calibri" w:hAnsi="Times New Roman" w:cs="Times New Roman"/>
          <w:color w:val="2F2F2F"/>
          <w:sz w:val="24"/>
          <w:szCs w:val="24"/>
        </w:rPr>
        <w:t xml:space="preserve">образования Российской Федерации </w:t>
      </w:r>
      <w:hyperlink r:id="rId17"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75138C">
        <w:rPr>
          <w:rFonts w:ascii="Times New Roman" w:eastAsia="Calibri" w:hAnsi="Times New Roman" w:cs="Times New Roman"/>
          <w:sz w:val="24"/>
          <w:szCs w:val="24"/>
        </w:rPr>
        <w:t>Федеральная служба по надзору в сфере образования и науки</w:t>
      </w:r>
      <w:r w:rsidRPr="00564EDF">
        <w:rPr>
          <w:rFonts w:ascii="Times New Roman" w:eastAsia="Calibri" w:hAnsi="Times New Roman" w:cs="Times New Roman"/>
          <w:color w:val="2F2F2F"/>
          <w:sz w:val="24"/>
          <w:szCs w:val="24"/>
        </w:rPr>
        <w:t xml:space="preserve"> </w:t>
      </w:r>
      <w:hyperlink r:id="rId18"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75138C">
        <w:rPr>
          <w:rFonts w:ascii="Times New Roman" w:eastAsia="Calibri" w:hAnsi="Times New Roman" w:cs="Times New Roman"/>
          <w:sz w:val="24"/>
          <w:szCs w:val="24"/>
        </w:rPr>
        <w:t xml:space="preserve">Федеральный портал «Российское образование» </w:t>
      </w:r>
      <w:hyperlink r:id="rId19"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75138C">
        <w:rPr>
          <w:rFonts w:ascii="Times New Roman" w:eastAsia="Calibri" w:hAnsi="Times New Roman" w:cs="Times New Roman"/>
          <w:sz w:val="24"/>
          <w:szCs w:val="24"/>
        </w:rPr>
        <w:t>Информационная система «Единое окно доступа к образовательным ресурсам»</w:t>
      </w:r>
      <w:r w:rsidRPr="00564EDF">
        <w:rPr>
          <w:rFonts w:ascii="Times New Roman" w:eastAsia="Calibri" w:hAnsi="Times New Roman" w:cs="Times New Roman"/>
          <w:color w:val="2F2F2F"/>
          <w:sz w:val="24"/>
          <w:szCs w:val="24"/>
        </w:rPr>
        <w:t xml:space="preserve"> </w:t>
      </w:r>
      <w:hyperlink r:id="rId20"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75138C">
        <w:rPr>
          <w:rFonts w:ascii="Times New Roman" w:eastAsia="Calibri" w:hAnsi="Times New Roman" w:cs="Times New Roman"/>
          <w:sz w:val="24"/>
          <w:szCs w:val="24"/>
        </w:rPr>
        <w:t xml:space="preserve">Федеральный центр и информационно-образовательных ресурсов </w:t>
      </w:r>
      <w:hyperlink r:id="rId21"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lastRenderedPageBreak/>
        <w:t xml:space="preserve">Министерство спорта Российской Федерации </w:t>
      </w:r>
      <w:hyperlink r:id="rId22"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Магнезница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прогибаний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(гравитрон)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Microsoft Office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лектронный видео увеличитель "ONYX Deskset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Front Row to Go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lastRenderedPageBreak/>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радиокласс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75138C" w:rsidRPr="00AE7376" w:rsidRDefault="0075138C" w:rsidP="0075138C">
      <w:pPr>
        <w:pageBreakBefore/>
        <w:spacing w:after="0" w:line="240" w:lineRule="auto"/>
        <w:jc w:val="right"/>
        <w:rPr>
          <w:rFonts w:ascii="Times New Roman" w:eastAsia="Times New Roman" w:hAnsi="Times New Roman" w:cs="Times New Roman"/>
          <w:i/>
          <w:sz w:val="20"/>
          <w:szCs w:val="20"/>
          <w:lang w:eastAsia="ru-RU"/>
        </w:rPr>
      </w:pPr>
      <w:r w:rsidRPr="00AE7376">
        <w:rPr>
          <w:rFonts w:ascii="Times New Roman" w:eastAsia="Times New Roman" w:hAnsi="Times New Roman" w:cs="Times New Roman"/>
          <w:i/>
          <w:sz w:val="20"/>
          <w:szCs w:val="20"/>
          <w:lang w:eastAsia="ru-RU"/>
        </w:rPr>
        <w:lastRenderedPageBreak/>
        <w:t>Приложение к рабочей программе дисциплины</w:t>
      </w:r>
    </w:p>
    <w:p w:rsidR="0075138C" w:rsidRPr="006823AE" w:rsidRDefault="0075138C" w:rsidP="0075138C">
      <w:pPr>
        <w:spacing w:after="0" w:line="240" w:lineRule="auto"/>
        <w:jc w:val="right"/>
        <w:rPr>
          <w:rFonts w:ascii="Times New Roman" w:eastAsia="Times New Roman" w:hAnsi="Times New Roman" w:cs="Times New Roman"/>
          <w:i/>
          <w:sz w:val="20"/>
          <w:szCs w:val="20"/>
          <w:lang w:eastAsia="ru-RU"/>
        </w:rPr>
      </w:pPr>
      <w:r w:rsidRPr="006823AE">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75138C" w:rsidRDefault="0075138C" w:rsidP="0075138C">
      <w:pPr>
        <w:spacing w:after="0" w:line="240" w:lineRule="auto"/>
        <w:jc w:val="right"/>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Министерство спорта Российской Федерации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высшего образования</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спортивных единоборств и тяжелой атлетики</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УТВЕРЖДЕНО</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решением Учебно-методической комиссии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протокол № 6/22 от «21» июня 2022г.</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Председатель УМК,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и. о. проректора по учебной работе</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___________________А.С. Солнцева</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bCs/>
          <w:sz w:val="24"/>
          <w:szCs w:val="24"/>
          <w:lang w:eastAsia="ru-RU"/>
        </w:rPr>
      </w:pPr>
      <w:r w:rsidRPr="00AE7376">
        <w:rPr>
          <w:rFonts w:ascii="Times New Roman" w:eastAsia="Times New Roman" w:hAnsi="Times New Roman" w:cs="Times New Roman"/>
          <w:b/>
          <w:bCs/>
          <w:sz w:val="24"/>
          <w:szCs w:val="24"/>
          <w:lang w:eastAsia="ru-RU"/>
        </w:rPr>
        <w:t>Фонд оценочных средств</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по дисциплине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обучения базовым видам спорта: Атлетизм»</w:t>
      </w:r>
    </w:p>
    <w:p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4322B7"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49.03.01 Физическая культура</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i/>
          <w:sz w:val="24"/>
          <w:szCs w:val="24"/>
          <w:lang w:eastAsia="ru-RU"/>
        </w:rPr>
      </w:pPr>
      <w:r w:rsidRPr="00AE7376">
        <w:rPr>
          <w:rFonts w:ascii="Times New Roman" w:eastAsia="Times New Roman" w:hAnsi="Times New Roman" w:cs="Times New Roman"/>
          <w:b/>
          <w:i/>
          <w:sz w:val="24"/>
          <w:szCs w:val="24"/>
          <w:lang w:eastAsia="ru-RU"/>
        </w:rPr>
        <w:t>Наименование ОПОП:</w:t>
      </w:r>
    </w:p>
    <w:p w:rsidR="004322B7" w:rsidRPr="009A4373" w:rsidRDefault="004322B7" w:rsidP="004322B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«Физкультурное образование»</w:t>
      </w:r>
    </w:p>
    <w:p w:rsidR="004322B7" w:rsidRPr="009A4373" w:rsidRDefault="004322B7" w:rsidP="004322B7">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«Физкультурно-оздоровительные технологии»</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Форма обучения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очная/заочная</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Рассмотрено и одобрено на заседании кафедры</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(протокол № 10 от «16» июня 2022 г.) </w:t>
      </w:r>
    </w:p>
    <w:p w:rsidR="0075138C" w:rsidRPr="00AE7376" w:rsidRDefault="0075138C" w:rsidP="0075138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Зав. кафедрой профессор В.С. Беляев/_____________</w:t>
      </w:r>
    </w:p>
    <w:p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r w:rsidRPr="00AE7376">
        <w:rPr>
          <w:rFonts w:ascii="Times New Roman" w:eastAsia="Times New Roman" w:hAnsi="Times New Roman" w:cs="Times New Roman"/>
          <w:i/>
          <w:sz w:val="24"/>
          <w:szCs w:val="24"/>
          <w:lang w:eastAsia="ru-RU"/>
        </w:rPr>
        <w:t xml:space="preserve">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w:t>
      </w:r>
    </w:p>
    <w:p w:rsidR="0075138C"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Малаховка, 2022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4322B7" w:rsidRDefault="004322B7" w:rsidP="004322B7">
      <w:pPr>
        <w:spacing w:after="0"/>
        <w:rPr>
          <w:lang w:eastAsia="ru-RU"/>
        </w:rPr>
      </w:pPr>
    </w:p>
    <w:p w:rsidR="009A4373" w:rsidRPr="009A4373" w:rsidRDefault="009A4373" w:rsidP="004322B7">
      <w:pPr>
        <w:keepNext/>
        <w:keepLines/>
        <w:numPr>
          <w:ilvl w:val="1"/>
          <w:numId w:val="27"/>
        </w:numPr>
        <w:shd w:val="clear" w:color="auto" w:fill="FFFFFF"/>
        <w:spacing w:before="240"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моностанции от стереостанции?</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кардиотренажера.</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п.п.</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4322B7" w:rsidRPr="009A4373" w:rsidTr="00564EDF">
        <w:tc>
          <w:tcPr>
            <w:tcW w:w="1305"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кардиотренажеров.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ускорения процесса овладенения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Я.Краузе.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подготовки к седу,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основные ошибки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тела, гири или помоста; дожиме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помоста; дожиме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касание свободной рукой тела, гири или помоста; дожиме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при дожиме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Статический, миометрический, плиометрический.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Словестный,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C22A19" w:rsidRPr="009A4373" w:rsidRDefault="00C22A19" w:rsidP="00C22A19">
      <w:pPr>
        <w:tabs>
          <w:tab w:val="right" w:leader="underscore" w:pos="9356"/>
        </w:tabs>
        <w:spacing w:after="0" w:line="240" w:lineRule="auto"/>
        <w:ind w:left="720"/>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разъяснение, демонстрация, многократное воспроизведение части или всего упражнения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обучению занимающихся правильному натуживанию.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обучению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Теоретические знания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измерительных инструментов в ходе выполнения упражнений с субмаксимальным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статические и динамические усилия на тензоплатформе.</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длительное время выполнять работу силового характера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Миометрический, плиометрический, изометрический, безнагрузочный.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Преодолевающий, уступающий, ударный, электростимуляционный.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изокинетический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Максимальных усилий, околомаксимальных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Миометрический, плиометрический, изометрический, безнагрузочный, электростимуляционный.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перед, во время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правил ношения спортивной формы, разминка, страховка и самостраховки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количества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 стретчинг,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 стретчинг,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стретчинг,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Силовых тренажеров, кардиотренажеров,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Достаточно свободного места для всех занимающихся во время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более массивном грузоблоке.</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с большей нагрузкой..</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грузоблоков.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размещение занимающегося, узел взаимодействия занимающегося с тренажером, системы нагружения, система передачи нагрузки от системы нагружения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Рама тренажера, место нахождения занимающегося, орган управления тренажером, система нагружения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моностанции от стереостанции?</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разместить только одного человека, а стереостанция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выполнить только движение двумя конечностями одновременно, а стереостанция позволяет осуществлять независимые поочередные и даже встречнонаправленные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нагружать только одну группы мышц, а стереостанция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Моностанция позволяет выполнить только одно упражнение, а стереостанция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кардиотренажера.</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нагружения,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размещение занимающегося, узел взаимодействия занимающегося с тренажером, система нагружения, система передачи нагрузки от системы нагружения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Рама тренажера, место нахождения занимающегося, орган управления тренажером, система нагружения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 собственного тела, различные отягощения которые можно использовать для нагружения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Штанги; гантели; гири; манжеты, пояса и ремни - утяжелители, бодибары, медболы.</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4322B7" w:rsidRDefault="004322B7"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w:t>
      </w:r>
      <w:r w:rsidR="004322B7" w:rsidRPr="00FF2492">
        <w:rPr>
          <w:rFonts w:ascii="Times New Roman" w:eastAsia="Times New Roman" w:hAnsi="Times New Roman" w:cs="Times New Roman"/>
          <w:sz w:val="24"/>
          <w:szCs w:val="24"/>
          <w:lang w:eastAsia="ru-RU"/>
        </w:rPr>
        <w:t xml:space="preserve">для </w:t>
      </w:r>
      <w:r w:rsidR="004322B7" w:rsidRPr="00EA607F">
        <w:rPr>
          <w:rFonts w:ascii="Times New Roman" w:eastAsia="Times New Roman" w:hAnsi="Times New Roman" w:cs="Times New Roman"/>
          <w:color w:val="000000"/>
          <w:sz w:val="24"/>
          <w:szCs w:val="24"/>
          <w:lang w:eastAsia="ru-RU"/>
        </w:rPr>
        <w:t>социально-педагогического</w:t>
      </w:r>
      <w:r w:rsidR="004322B7">
        <w:rPr>
          <w:rFonts w:ascii="Times New Roman" w:eastAsia="Times New Roman" w:hAnsi="Times New Roman" w:cs="Times New Roman"/>
          <w:sz w:val="24"/>
          <w:szCs w:val="24"/>
          <w:lang w:eastAsia="ru-RU"/>
        </w:rPr>
        <w:t xml:space="preserve"> факультета</w:t>
      </w:r>
      <w:r w:rsidR="004322B7" w:rsidRPr="00FF2492">
        <w:rPr>
          <w:rFonts w:ascii="Times New Roman" w:eastAsia="Times New Roman" w:hAnsi="Times New Roman" w:cs="Times New Roman"/>
          <w:sz w:val="24"/>
          <w:szCs w:val="24"/>
          <w:lang w:eastAsia="ru-RU"/>
        </w:rPr>
        <w:t xml:space="preserve"> и </w:t>
      </w:r>
      <w:r w:rsidR="004322B7">
        <w:rPr>
          <w:rFonts w:ascii="Times New Roman" w:eastAsia="Times New Roman" w:hAnsi="Times New Roman" w:cs="Times New Roman"/>
          <w:sz w:val="24"/>
          <w:szCs w:val="24"/>
          <w:lang w:eastAsia="ru-RU"/>
        </w:rPr>
        <w:t>факультета заочной формы</w:t>
      </w:r>
      <w:r w:rsidR="004322B7" w:rsidRPr="00FF2492">
        <w:rPr>
          <w:rFonts w:ascii="Times New Roman" w:eastAsia="Times New Roman" w:hAnsi="Times New Roman" w:cs="Times New Roman"/>
          <w:sz w:val="24"/>
          <w:szCs w:val="24"/>
          <w:lang w:eastAsia="ru-RU"/>
        </w:rPr>
        <w:t xml:space="preserve">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1009D1"/>
    <w:rsid w:val="00107380"/>
    <w:rsid w:val="002F3BC6"/>
    <w:rsid w:val="003C3C4A"/>
    <w:rsid w:val="004322B7"/>
    <w:rsid w:val="0053539F"/>
    <w:rsid w:val="00564EDF"/>
    <w:rsid w:val="005F5D66"/>
    <w:rsid w:val="006823AE"/>
    <w:rsid w:val="0075138C"/>
    <w:rsid w:val="00950EB4"/>
    <w:rsid w:val="009A4373"/>
    <w:rsid w:val="009D45CD"/>
    <w:rsid w:val="00A10C92"/>
    <w:rsid w:val="00A6407E"/>
    <w:rsid w:val="00B2570E"/>
    <w:rsid w:val="00B74C9B"/>
    <w:rsid w:val="00BD2605"/>
    <w:rsid w:val="00C22A19"/>
    <w:rsid w:val="00C66B1A"/>
    <w:rsid w:val="00D20C4C"/>
    <w:rsid w:val="00DD318B"/>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B277"/>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2.html%20"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hyperlink" Target="URL:%20http://lib.mgafk.ru"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 Type="http://schemas.openxmlformats.org/officeDocument/2006/relationships/styles" Target="styles.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20" TargetMode="External"/><Relationship Id="rId24"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s://urait.ru/" TargetMode="External"/><Relationship Id="rId23"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63649.html%20"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37</Pages>
  <Words>10608</Words>
  <Characters>60467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19</cp:revision>
  <dcterms:created xsi:type="dcterms:W3CDTF">2021-07-24T17:53:00Z</dcterms:created>
  <dcterms:modified xsi:type="dcterms:W3CDTF">2022-06-27T08:26:00Z</dcterms:modified>
</cp:coreProperties>
</file>