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E3132" w:rsidRPr="00C21C14" w:rsidTr="008C0561">
        <w:tc>
          <w:tcPr>
            <w:tcW w:w="4617" w:type="dxa"/>
            <w:hideMark/>
          </w:tcPr>
          <w:p w:rsidR="007E3132" w:rsidRPr="007E3132" w:rsidRDefault="007E3132" w:rsidP="007E3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УТВЕРЖДЕНО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Председатель УМК,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и.о. проректора по учебной работе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канд. пед. наук. А.С. Солнцева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______________________________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</w:p>
          <w:p w:rsidR="007E3132" w:rsidRPr="007E3132" w:rsidRDefault="007E3132" w:rsidP="007E3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="007E3132">
        <w:rPr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 «Физкультурно-оздоровительные технологии»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«Физкультурное образование»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«Оздоровительные виды аэробики и гимнастики»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065181" w:rsidRPr="00065181" w:rsidTr="00065181">
        <w:tc>
          <w:tcPr>
            <w:tcW w:w="3510" w:type="dxa"/>
          </w:tcPr>
          <w:p w:rsidR="00065181" w:rsidRPr="00065181" w:rsidRDefault="00065181" w:rsidP="00065181">
            <w:pPr>
              <w:widowControl w:val="0"/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065181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  <w:r w:rsidRPr="00065181">
              <w:rPr>
                <w:color w:val="000000"/>
                <w:sz w:val="24"/>
                <w:szCs w:val="24"/>
              </w:rPr>
              <w:t xml:space="preserve"> </w:t>
            </w:r>
          </w:p>
          <w:p w:rsidR="00065181" w:rsidRPr="00065181" w:rsidRDefault="00065181" w:rsidP="00065181">
            <w:pPr>
              <w:widowControl w:val="0"/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СОГЛАСОВАНО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  <w:r w:rsidRPr="00065181">
              <w:rPr>
                <w:color w:val="000000"/>
                <w:sz w:val="24"/>
                <w:szCs w:val="24"/>
              </w:rPr>
              <w:t xml:space="preserve"> 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от «25» мая 2022г.)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Заведующий кафедрой,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к.п.н., доцент В.В. Буторин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____________________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  <w:r w:rsidRPr="00065181">
              <w:rPr>
                <w:sz w:val="24"/>
                <w:szCs w:val="24"/>
              </w:rPr>
              <w:t>________________________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5181" w:rsidRPr="00065181" w:rsidRDefault="00065181" w:rsidP="00065181">
      <w:pPr>
        <w:jc w:val="center"/>
        <w:rPr>
          <w:color w:val="000000"/>
          <w:sz w:val="24"/>
          <w:szCs w:val="24"/>
        </w:rPr>
      </w:pPr>
    </w:p>
    <w:p w:rsidR="00065181" w:rsidRPr="00065181" w:rsidRDefault="00065181" w:rsidP="00065181">
      <w:pPr>
        <w:jc w:val="center"/>
        <w:rPr>
          <w:color w:val="000000"/>
          <w:sz w:val="24"/>
          <w:szCs w:val="24"/>
        </w:rPr>
      </w:pPr>
      <w:r w:rsidRPr="00065181">
        <w:rPr>
          <w:color w:val="000000"/>
          <w:sz w:val="24"/>
          <w:szCs w:val="24"/>
        </w:rPr>
        <w:t xml:space="preserve">Малаховка 2022   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>Е.Д. Никитина, к.п.н., профессор</w:t>
      </w:r>
      <w:r w:rsidR="00226E6E" w:rsidRPr="00C21C14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______________________</w:t>
      </w:r>
      <w:r w:rsidR="00226E6E" w:rsidRPr="00C21C14">
        <w:rPr>
          <w:sz w:val="24"/>
          <w:szCs w:val="24"/>
        </w:rPr>
        <w:t xml:space="preserve">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Починкин, д.п.н., профессор  </w:t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_________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Буторин, к.п.н., доцент </w:t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3971"/>
        <w:gridCol w:w="4001"/>
        <w:gridCol w:w="989"/>
      </w:tblGrid>
      <w:tr w:rsidR="005110C0" w:rsidRPr="00D1503E" w:rsidTr="005110C0">
        <w:tc>
          <w:tcPr>
            <w:tcW w:w="82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br w:type="page"/>
              <w:t>Код ПС</w:t>
            </w:r>
          </w:p>
        </w:tc>
        <w:tc>
          <w:tcPr>
            <w:tcW w:w="397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00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Аббрев. исп. в РПД</w:t>
            </w:r>
          </w:p>
        </w:tc>
      </w:tr>
      <w:tr w:rsidR="005110C0" w:rsidRPr="00D1503E" w:rsidTr="005110C0">
        <w:tc>
          <w:tcPr>
            <w:tcW w:w="9782" w:type="dxa"/>
            <w:gridSpan w:val="4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5110C0" w:rsidRPr="00AC3DF8" w:rsidTr="005110C0">
        <w:tc>
          <w:tcPr>
            <w:tcW w:w="821" w:type="dxa"/>
          </w:tcPr>
          <w:p w:rsidR="005110C0" w:rsidRPr="00AC3DF8" w:rsidRDefault="005110C0" w:rsidP="005110C0">
            <w:pPr>
              <w:widowControl w:val="0"/>
              <w:jc w:val="both"/>
              <w:rPr>
                <w:sz w:val="22"/>
                <w:szCs w:val="22"/>
              </w:rPr>
            </w:pPr>
            <w:r w:rsidRPr="00AC3DF8">
              <w:rPr>
                <w:sz w:val="22"/>
                <w:szCs w:val="22"/>
              </w:rPr>
              <w:t>05.005</w:t>
            </w:r>
          </w:p>
        </w:tc>
        <w:tc>
          <w:tcPr>
            <w:tcW w:w="3971" w:type="dxa"/>
          </w:tcPr>
          <w:p w:rsidR="005110C0" w:rsidRPr="00AC3DF8" w:rsidRDefault="000146DF" w:rsidP="005110C0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="005110C0" w:rsidRPr="00AC3DF8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"Инструктор-методист"</w:t>
              </w:r>
            </w:hyperlink>
          </w:p>
          <w:p w:rsidR="005110C0" w:rsidRPr="00AC3DF8" w:rsidRDefault="005110C0" w:rsidP="005110C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01" w:type="dxa"/>
          </w:tcPr>
          <w:p w:rsidR="005110C0" w:rsidRPr="00AC3DF8" w:rsidRDefault="005110C0" w:rsidP="005110C0">
            <w:pPr>
              <w:pStyle w:val="af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D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Приказ Министерства труда и социальной защиты РФ от 8 сентября 2014 г. N 630н</w:t>
            </w:r>
            <w:r w:rsidRPr="00AC3DF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(с изменениями и дополнениями </w:t>
            </w:r>
            <w:r w:rsidRPr="00AC3D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декабря 2016 г.</w:t>
            </w:r>
            <w:r w:rsidRPr="00AC3DF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989" w:type="dxa"/>
          </w:tcPr>
          <w:p w:rsidR="005110C0" w:rsidRPr="00AC3DF8" w:rsidRDefault="005110C0" w:rsidP="005110C0">
            <w:pPr>
              <w:pStyle w:val="af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D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2153"/>
        <w:gridCol w:w="1682"/>
      </w:tblGrid>
      <w:tr w:rsidR="00C71F6A" w:rsidRPr="00C21C14" w:rsidTr="005110C0">
        <w:trPr>
          <w:jc w:val="center"/>
        </w:trPr>
        <w:tc>
          <w:tcPr>
            <w:tcW w:w="6381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61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5110C0">
        <w:trPr>
          <w:trHeight w:val="1649"/>
          <w:jc w:val="center"/>
        </w:trPr>
        <w:tc>
          <w:tcPr>
            <w:tcW w:w="6381" w:type="dxa"/>
          </w:tcPr>
          <w:p w:rsidR="00592363" w:rsidRPr="005110C0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5110C0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 xml:space="preserve"> – </w:t>
            </w:r>
            <w:r w:rsidRPr="005110C0">
              <w:rPr>
                <w:sz w:val="24"/>
                <w:szCs w:val="24"/>
              </w:rPr>
              <w:t xml:space="preserve"> истории развития конфликтологии  и</w:t>
            </w:r>
            <w:r w:rsidR="005110C0" w:rsidRPr="005110C0">
              <w:rPr>
                <w:sz w:val="24"/>
                <w:szCs w:val="24"/>
              </w:rPr>
              <w:t xml:space="preserve"> </w:t>
            </w:r>
            <w:r w:rsidRPr="005110C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5110C0" w:rsidRDefault="00592363" w:rsidP="00C21C14">
            <w:pPr>
              <w:rPr>
                <w:spacing w:val="-1"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5110C0" w:rsidRDefault="00592363" w:rsidP="00C21C14">
            <w:pPr>
              <w:rPr>
                <w:bCs/>
                <w:iCs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 xml:space="preserve">–  </w:t>
            </w:r>
            <w:r w:rsidRPr="005110C0">
              <w:rPr>
                <w:bCs/>
                <w:iCs/>
                <w:sz w:val="22"/>
                <w:szCs w:val="22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5110C0" w:rsidRPr="005110C0" w:rsidRDefault="005110C0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z w:val="24"/>
                <w:szCs w:val="24"/>
              </w:rPr>
              <w:t>- этические нормы в области спорта;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1861" w:type="dxa"/>
            <w:vMerge w:val="restart"/>
          </w:tcPr>
          <w:p w:rsidR="005110C0" w:rsidRPr="00AC3DF8" w:rsidRDefault="005110C0" w:rsidP="005110C0">
            <w:pPr>
              <w:tabs>
                <w:tab w:val="right" w:leader="underscore" w:pos="9356"/>
              </w:tabs>
              <w:rPr>
                <w:b/>
                <w:i/>
                <w:iCs/>
                <w:sz w:val="24"/>
                <w:szCs w:val="24"/>
              </w:rPr>
            </w:pPr>
            <w:r w:rsidRPr="00AC3DF8">
              <w:rPr>
                <w:b/>
                <w:i/>
                <w:iCs/>
                <w:sz w:val="24"/>
                <w:szCs w:val="24"/>
              </w:rPr>
              <w:t>ИМ</w:t>
            </w:r>
          </w:p>
          <w:p w:rsidR="005110C0" w:rsidRDefault="005110C0" w:rsidP="005110C0">
            <w:pPr>
              <w:jc w:val="both"/>
              <w:rPr>
                <w:b/>
                <w:iCs/>
                <w:sz w:val="24"/>
                <w:szCs w:val="24"/>
              </w:rPr>
            </w:pPr>
            <w:r w:rsidRPr="00AC3DF8">
              <w:rPr>
                <w:b/>
                <w:iCs/>
                <w:sz w:val="24"/>
                <w:szCs w:val="24"/>
              </w:rPr>
              <w:t>Е/01.6</w:t>
            </w:r>
          </w:p>
          <w:p w:rsidR="005110C0" w:rsidRPr="003B30AF" w:rsidRDefault="005110C0" w:rsidP="005110C0">
            <w:pPr>
              <w:jc w:val="both"/>
              <w:rPr>
                <w:i/>
                <w:sz w:val="24"/>
                <w:szCs w:val="24"/>
              </w:rPr>
            </w:pPr>
            <w:r w:rsidRPr="00AC3DF8">
              <w:rPr>
                <w:i/>
                <w:sz w:val="24"/>
                <w:szCs w:val="24"/>
              </w:rPr>
              <w:t xml:space="preserve">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5110C0">
        <w:trPr>
          <w:trHeight w:val="214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110C0" w:rsidRDefault="00592363" w:rsidP="00C21C14">
            <w:pPr>
              <w:tabs>
                <w:tab w:val="num" w:pos="756"/>
              </w:tabs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</w:t>
            </w:r>
            <w:r w:rsidR="005110C0">
              <w:rPr>
                <w:sz w:val="24"/>
                <w:szCs w:val="24"/>
              </w:rPr>
              <w:t>пособы урегулирования конфликтов</w:t>
            </w:r>
            <w:r w:rsidRPr="00C21C14">
              <w:rPr>
                <w:sz w:val="24"/>
                <w:szCs w:val="24"/>
              </w:rPr>
              <w:t xml:space="preserve"> </w:t>
            </w:r>
            <w:r w:rsidR="005110C0">
              <w:rPr>
                <w:sz w:val="24"/>
                <w:szCs w:val="24"/>
              </w:rPr>
              <w:t>(</w:t>
            </w:r>
            <w:r w:rsidRPr="00C21C14">
              <w:rPr>
                <w:sz w:val="24"/>
                <w:szCs w:val="24"/>
              </w:rPr>
              <w:t>включая ор</w:t>
            </w:r>
            <w:r w:rsidR="005110C0">
              <w:rPr>
                <w:sz w:val="24"/>
                <w:szCs w:val="24"/>
              </w:rPr>
              <w:t>ганизацию и ведение переговоров) и</w:t>
            </w:r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  <w:r w:rsidR="005110C0">
              <w:t xml:space="preserve"> </w:t>
            </w:r>
          </w:p>
          <w:p w:rsidR="00592363" w:rsidRPr="00C21C14" w:rsidRDefault="005110C0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t>- о</w:t>
            </w:r>
            <w:r w:rsidRPr="005110C0">
              <w:rPr>
                <w:sz w:val="24"/>
                <w:szCs w:val="24"/>
              </w:rPr>
              <w:t>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5110C0">
        <w:trPr>
          <w:trHeight w:val="28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7E3132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7E3132">
        <w:rPr>
          <w:spacing w:val="-1"/>
          <w:sz w:val="24"/>
          <w:szCs w:val="24"/>
        </w:rPr>
        <w:t xml:space="preserve">о 2 </w:t>
      </w:r>
      <w:r w:rsidRPr="00C21C14">
        <w:rPr>
          <w:spacing w:val="-1"/>
          <w:sz w:val="24"/>
          <w:szCs w:val="24"/>
        </w:rPr>
        <w:t>семестре</w:t>
      </w:r>
      <w:r w:rsidR="007E3132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>, в 5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548"/>
        <w:gridCol w:w="1276"/>
        <w:gridCol w:w="1382"/>
      </w:tblGrid>
      <w:tr w:rsidR="00960A2C" w:rsidTr="007E3132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7E3132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7E313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</w:tc>
      </w:tr>
      <w:tr w:rsidR="00960A2C" w:rsidTr="007E3132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7E31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960A2C" w:rsidTr="00262EF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262EF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262EF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262E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22"/>
        <w:gridCol w:w="5812"/>
        <w:gridCol w:w="1100"/>
      </w:tblGrid>
      <w:tr w:rsidR="00C71F6A" w:rsidRPr="00C21C14" w:rsidTr="00F371B6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12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по  конфликтологии. Цели, задачи и требования к усвоению конфликтологии обучающимися. </w:t>
            </w:r>
            <w:r w:rsidRPr="00C21C14">
              <w:rPr>
                <w:sz w:val="24"/>
                <w:szCs w:val="24"/>
              </w:rPr>
              <w:t xml:space="preserve"> Содержание учебной дисциплины по основам конфликтологии.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конфликта.Типы и виды конфликта. Функции конфликта, конструктивные и деструктивные  функции. Возникновение конфликта, его причины.  Структура и динамика конфликта.</w:t>
            </w:r>
          </w:p>
          <w:p w:rsidR="00F371B6" w:rsidRPr="00C21C14" w:rsidRDefault="00F371B6" w:rsidP="007E31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их  характеристики.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</w:t>
            </w:r>
            <w:r w:rsidRPr="00C21C14">
              <w:rPr>
                <w:sz w:val="24"/>
                <w:szCs w:val="24"/>
              </w:rPr>
              <w:lastRenderedPageBreak/>
              <w:t>конфликтов и возможностях их устранения. Отошение к конфликтам древнегреческого философа Гераклита Эфесского. Утопические надежды дрвнегреческого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Роттердамского,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Мора и Ф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Бэкона.</w:t>
            </w:r>
            <w:r w:rsidR="00262EF5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Осмысление социального конфликта в Новое время. Пессимистический подход к конфл</w:t>
            </w:r>
            <w:r>
              <w:rPr>
                <w:sz w:val="24"/>
                <w:szCs w:val="24"/>
              </w:rPr>
              <w:t>иктам английского философа Т.</w:t>
            </w:r>
            <w:r w:rsidRPr="00C21C14">
              <w:rPr>
                <w:sz w:val="24"/>
                <w:szCs w:val="24"/>
              </w:rPr>
              <w:t xml:space="preserve">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оптимистического  подходов к конфликтам немецкого философа Иммануила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конфликтов.Развитие учения Маркса в трудах его последователей в России В.И. Ленина и др. (конец  19 в. – начало 20 в.): невозможность при социализме перерастания неантагонистических противоречий в антагонистические. Разработка  общей концепции социального конфликта</w:t>
            </w:r>
            <w:r>
              <w:rPr>
                <w:sz w:val="24"/>
                <w:szCs w:val="24"/>
              </w:rPr>
              <w:t xml:space="preserve"> в работах немецких учёных М.</w:t>
            </w:r>
            <w:r w:rsidRPr="00C21C14">
              <w:rPr>
                <w:sz w:val="24"/>
                <w:szCs w:val="24"/>
              </w:rPr>
              <w:t xml:space="preserve"> Вебера и Г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Зиммеля (конец 19 в. – начало 20 в.). Развитие конфликтологии в Новейшее время в трудах немецких и американских социологов (20 в.). Теория конфликта Р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Дарендорфа. Обоснование позитивной роли конфликтного взаимо</w:t>
            </w:r>
            <w:r>
              <w:rPr>
                <w:sz w:val="24"/>
                <w:szCs w:val="24"/>
              </w:rPr>
              <w:t>действия в жизни общества Л.</w:t>
            </w:r>
            <w:r w:rsidRPr="00C21C14">
              <w:rPr>
                <w:sz w:val="24"/>
                <w:szCs w:val="24"/>
              </w:rPr>
              <w:t xml:space="preserve"> Козера. Противопоставление теории конфликта Дарендорфа и Козера как теории классовой борьбы, так и концепции «социального согласия».Разработка концепций «социального согласия» и «человеческих </w:t>
            </w:r>
            <w:r w:rsidRPr="00C21C14">
              <w:rPr>
                <w:sz w:val="24"/>
                <w:szCs w:val="24"/>
              </w:rPr>
              <w:lastRenderedPageBreak/>
              <w:t>отношений» в трудах американских социологов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Парсонса и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Мэйо. Общая теория конфликтного взаимодействия </w:t>
            </w:r>
            <w:r>
              <w:rPr>
                <w:sz w:val="24"/>
                <w:szCs w:val="24"/>
              </w:rPr>
              <w:t xml:space="preserve"> американского социолога К.</w:t>
            </w:r>
            <w:r w:rsidRPr="00C21C14">
              <w:rPr>
                <w:sz w:val="24"/>
                <w:szCs w:val="24"/>
              </w:rPr>
              <w:t xml:space="preserve"> Боулдинга, завершившего формирование конфликтологии как самостоятельной области научного знания. Сущность принципа «скэрсити», сформулированного К. Боулдингом. Главная цель стратегий конфликта,  разработанных  К. Боулдингом. Изменения в практической сфере конфликтного взаимодействия как следствие публикаций Боулдинга и других конфликтологов.Развитие конфликтологии в рамках психологической науки в Новое и Новейшее время. Вклад учёных-психологов в развитие конфликтол</w:t>
            </w:r>
            <w:r>
              <w:rPr>
                <w:sz w:val="24"/>
                <w:szCs w:val="24"/>
              </w:rPr>
              <w:t>огического знания. Роль З.</w:t>
            </w:r>
            <w:r w:rsidRPr="00C21C14">
              <w:rPr>
                <w:sz w:val="24"/>
                <w:szCs w:val="24"/>
              </w:rPr>
              <w:t xml:space="preserve"> Фрейда в объяснении механизма развития внутриличностного конфликта (конец 19 в. – первая треть 20 в.). Новая классификация людей последователя Фрейда К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Юнга (психотипы: интроверты и экстраверты, мыслительный тип и художественный).  Вклад в конфликтологию австрийского психолога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Адлера. Американский психолог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Берн и его концепция «трансактного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в</w:t>
            </w:r>
            <w:r>
              <w:rPr>
                <w:sz w:val="24"/>
                <w:szCs w:val="24"/>
              </w:rPr>
              <w:t>нутриличностного конфликта К. Левина, К. Роджерса, В.</w:t>
            </w:r>
            <w:r w:rsidRPr="00C21C14">
              <w:rPr>
                <w:sz w:val="24"/>
                <w:szCs w:val="24"/>
              </w:rPr>
              <w:t xml:space="preserve"> Франкла,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Маслоу, А.Н. Леонтьева.Внутриличностный конфликт: понятие, характеристики, виды. Внутренние и внешние причины внутриличностного конфликта. Социальная среда и личность: К. Хорни об объективной социальной основе внутриличностного конфликта, Э. Фромм о конфликте между сущностью и </w:t>
            </w:r>
            <w:r w:rsidRPr="00C21C14">
              <w:rPr>
                <w:sz w:val="24"/>
                <w:szCs w:val="24"/>
              </w:rPr>
              <w:lastRenderedPageBreak/>
              <w:t>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Педагогисческие конфликты. Конфликты в семье. Межгрупповые конфликты. Особенности межгрупповых конфликтов.Механизмы возникновения межгрупповых конфликтов.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Предмет и объект конфликтологии. Исследовательские методы  науки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 xml:space="preserve">Современный менеджмент о профилактике конфликтов, Нормы деловой этики и юмор как средства предупреждения конфликтов.Выдвижение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</w:t>
            </w:r>
            <w:r w:rsidRPr="00C21C14">
              <w:rPr>
                <w:sz w:val="24"/>
                <w:szCs w:val="24"/>
              </w:rPr>
              <w:lastRenderedPageBreak/>
              <w:t>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110C0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7E313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</w:t>
      </w:r>
      <w:r w:rsidR="00262EF5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>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262EF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E313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7E3132" w:rsidRPr="00C21C14" w:rsidRDefault="007E3132" w:rsidP="007E313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7E3132" w:rsidRPr="00C21C14" w:rsidTr="007E3132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E3132" w:rsidRPr="00C21C14" w:rsidTr="007E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Гришина Н. В.</w:t>
            </w:r>
            <w:r w:rsidRPr="00CC6657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Сонин В. А.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Волков Б. С.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CC6657">
              <w:rPr>
                <w:color w:val="000000"/>
                <w:sz w:val="24"/>
                <w:szCs w:val="24"/>
              </w:rPr>
              <w:t xml:space="preserve">Конфликты в вузе и методы их разрешения : учебное пособие / В. И. Михайлов, И. Г. Станиславская ; НГУФК им. П. Ф. Лесгафта. - Санкт-Петербург, 2010. - Библиогр.: в конце каждой главы. - Текст : электронный // Электронно-библиотечная система ЭЛМАРК (МГАФК) : [сайт]. — </w:t>
            </w:r>
            <w:hyperlink r:id="rId9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CC6657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10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CC6657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1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D2171F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2" w:history="1">
              <w:r w:rsidRPr="00D2171F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D2171F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13" w:history="1">
              <w:r w:rsidRPr="00D2171F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 w:rsidRPr="00D2171F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</w:t>
            </w:r>
            <w:r w:rsidRPr="000C1399">
              <w:rPr>
                <w:sz w:val="24"/>
                <w:szCs w:val="24"/>
              </w:rPr>
              <w:lastRenderedPageBreak/>
              <w:t xml:space="preserve">c. — ISBN 2227-8397. — Текст : электронный // Электронно-библиотечная система IPR BOOKS : [сайт]. — URL: </w:t>
            </w:r>
            <w:hyperlink r:id="rId15" w:history="1">
              <w:r w:rsidRPr="00D2171F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16" w:history="1">
              <w:r w:rsidRPr="00D2171F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E3132" w:rsidRPr="00C21C14" w:rsidRDefault="007E3132" w:rsidP="007E3132">
      <w:pPr>
        <w:rPr>
          <w:sz w:val="24"/>
          <w:szCs w:val="24"/>
        </w:rPr>
      </w:pPr>
    </w:p>
    <w:p w:rsidR="007E3132" w:rsidRPr="00C21C14" w:rsidRDefault="007E3132" w:rsidP="007E3132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6.2 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7E3132" w:rsidRPr="00C21C14" w:rsidTr="007E3132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E3132" w:rsidRPr="00C21C14" w:rsidTr="007E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 xml:space="preserve">Гришина Н. В. </w:t>
            </w:r>
            <w:r w:rsidRPr="00CC6657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Сонин В. А. 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Волков Б. С. 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af3"/>
              <w:spacing w:before="0" w:beforeAutospacing="0" w:after="0" w:afterAutospacing="0"/>
            </w:pPr>
            <w:r w:rsidRPr="00CC6657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af3"/>
              <w:spacing w:before="0" w:beforeAutospacing="0" w:after="0" w:afterAutospacing="0"/>
            </w:pPr>
            <w:r w:rsidRPr="00CC6657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3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2</w:t>
            </w:r>
          </w:p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</w:p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3132" w:rsidRPr="00C21C14" w:rsidRDefault="007E3132" w:rsidP="007E3132">
      <w:pPr>
        <w:pStyle w:val="a4"/>
        <w:ind w:left="0"/>
        <w:rPr>
          <w:sz w:val="24"/>
          <w:szCs w:val="24"/>
        </w:rPr>
      </w:pPr>
    </w:p>
    <w:p w:rsidR="007E3132" w:rsidRPr="002740FA" w:rsidRDefault="007E3132" w:rsidP="007E313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>Электронная библиотечная система ЭЛМАРК (МГАФК)</w:t>
      </w:r>
      <w:r w:rsidRPr="002740F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2740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740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2740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IPRbooks </w:t>
      </w:r>
      <w:hyperlink r:id="rId19" w:history="1">
        <w:r w:rsidRPr="002740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2740FA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2740FA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lastRenderedPageBreak/>
        <w:t xml:space="preserve">Министерство </w:t>
      </w:r>
      <w:r w:rsidR="005110C0" w:rsidRPr="002740FA">
        <w:rPr>
          <w:rFonts w:eastAsia="Calibri"/>
          <w:sz w:val="24"/>
          <w:szCs w:val="24"/>
          <w:lang w:eastAsia="en-US"/>
        </w:rPr>
        <w:t>науки</w:t>
      </w:r>
      <w:r w:rsidR="005110C0">
        <w:rPr>
          <w:rFonts w:eastAsia="Calibri"/>
          <w:sz w:val="24"/>
          <w:szCs w:val="24"/>
          <w:lang w:eastAsia="en-US"/>
        </w:rPr>
        <w:t xml:space="preserve"> и</w:t>
      </w:r>
      <w:r w:rsidR="005110C0" w:rsidRPr="002740FA">
        <w:rPr>
          <w:rFonts w:eastAsia="Calibri"/>
          <w:sz w:val="24"/>
          <w:szCs w:val="24"/>
          <w:lang w:eastAsia="en-US"/>
        </w:rPr>
        <w:t xml:space="preserve"> </w:t>
      </w:r>
      <w:r w:rsidR="005110C0">
        <w:rPr>
          <w:rFonts w:eastAsia="Calibri"/>
          <w:sz w:val="24"/>
          <w:szCs w:val="24"/>
          <w:lang w:eastAsia="en-US"/>
        </w:rPr>
        <w:t xml:space="preserve">высшего </w:t>
      </w:r>
      <w:r w:rsidRPr="002740FA">
        <w:rPr>
          <w:rFonts w:eastAsia="Calibri"/>
          <w:sz w:val="24"/>
          <w:szCs w:val="24"/>
          <w:lang w:eastAsia="en-US"/>
        </w:rPr>
        <w:t xml:space="preserve">образования Российской Федерации </w:t>
      </w:r>
      <w:hyperlink r:id="rId22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2740FA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4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2740FA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28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9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C21C14" w:rsidRDefault="0032561A" w:rsidP="000358A2">
      <w:pPr>
        <w:kinsoku w:val="0"/>
        <w:overflowPunct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>
        <w:rPr>
          <w:i/>
          <w:iCs/>
          <w:sz w:val="24"/>
          <w:szCs w:val="24"/>
        </w:rPr>
        <w:br w:type="page"/>
      </w:r>
    </w:p>
    <w:p w:rsidR="0005465C" w:rsidRPr="00443CA5" w:rsidRDefault="0005465C" w:rsidP="00C21C14">
      <w:pPr>
        <w:jc w:val="right"/>
        <w:rPr>
          <w:i/>
          <w:sz w:val="22"/>
          <w:szCs w:val="22"/>
        </w:rPr>
      </w:pPr>
      <w:r w:rsidRPr="00443CA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443CA5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443CA5">
        <w:rPr>
          <w:i/>
          <w:iCs/>
          <w:sz w:val="22"/>
          <w:szCs w:val="22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УТВЕРЖДЕНО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решением Учебно-методической комиссии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   протокол № 6/22 от «21» июня 2022г.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Председатель УМК, 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и. о. проректора по учебной работе</w:t>
      </w:r>
    </w:p>
    <w:p w:rsidR="0005465C" w:rsidRPr="00C21C14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___________________А.С. Солнцева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Физкультурно-оздоровительные технологии,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Физкультурное образование,</w:t>
      </w:r>
    </w:p>
    <w:p w:rsidR="00510C73" w:rsidRDefault="00510C73" w:rsidP="00510C73">
      <w:pPr>
        <w:jc w:val="center"/>
      </w:pPr>
      <w:bookmarkStart w:id="0" w:name="_GoBack"/>
      <w:bookmarkEnd w:id="0"/>
      <w:r w:rsidRPr="00DF51F2">
        <w:rPr>
          <w:i/>
          <w:sz w:val="24"/>
          <w:szCs w:val="24"/>
        </w:rPr>
        <w:t>Оздоровительные виды аэробики и гимнастики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7E3132" w:rsidRPr="00510C73" w:rsidRDefault="007E3132" w:rsidP="007E3132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7E3132" w:rsidRPr="00510C73" w:rsidRDefault="007E3132" w:rsidP="007E3132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7E3132" w:rsidRDefault="007E3132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7E3132" w:rsidRDefault="00510C73" w:rsidP="00510C73">
      <w:pPr>
        <w:jc w:val="center"/>
        <w:rPr>
          <w:bCs/>
          <w:color w:val="000000"/>
          <w:sz w:val="24"/>
          <w:szCs w:val="24"/>
        </w:rPr>
      </w:pPr>
      <w:r w:rsidRPr="007E3132">
        <w:rPr>
          <w:bCs/>
          <w:color w:val="000000"/>
          <w:sz w:val="24"/>
          <w:szCs w:val="24"/>
        </w:rPr>
        <w:t>очная/заочная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Pr="00DF51F2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Рассмотрено и одобрено на заседании кафедры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(протокол № 5 от «25» мая 2022 г.) </w:t>
      </w:r>
    </w:p>
    <w:p w:rsidR="00262EF5" w:rsidRPr="00262EF5" w:rsidRDefault="00262EF5" w:rsidP="00262EF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62EF5">
        <w:rPr>
          <w:sz w:val="24"/>
          <w:szCs w:val="24"/>
        </w:rPr>
        <w:t>Зав. кафедрой ____________/ В.В. Буторин</w:t>
      </w:r>
    </w:p>
    <w:p w:rsidR="00262EF5" w:rsidRPr="00262EF5" w:rsidRDefault="00262EF5" w:rsidP="00262E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  <w:r w:rsidRPr="00262EF5">
        <w:rPr>
          <w:sz w:val="24"/>
          <w:szCs w:val="24"/>
        </w:rPr>
        <w:t xml:space="preserve">Малаховка, 2022 </w:t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07D94" w:rsidRPr="00AC3DF8" w:rsidRDefault="00007D94" w:rsidP="00007D94">
            <w:pPr>
              <w:tabs>
                <w:tab w:val="right" w:leader="underscore" w:pos="9356"/>
              </w:tabs>
              <w:rPr>
                <w:b/>
                <w:i/>
                <w:iCs/>
                <w:sz w:val="24"/>
                <w:szCs w:val="24"/>
              </w:rPr>
            </w:pPr>
            <w:r w:rsidRPr="00AC3DF8">
              <w:rPr>
                <w:b/>
                <w:i/>
                <w:iCs/>
                <w:sz w:val="24"/>
                <w:szCs w:val="24"/>
              </w:rPr>
              <w:t>ИМ</w:t>
            </w:r>
          </w:p>
          <w:p w:rsidR="00007D94" w:rsidRDefault="00007D94" w:rsidP="00007D94">
            <w:pPr>
              <w:jc w:val="both"/>
              <w:rPr>
                <w:b/>
                <w:iCs/>
                <w:sz w:val="24"/>
                <w:szCs w:val="24"/>
              </w:rPr>
            </w:pPr>
            <w:r w:rsidRPr="00AC3DF8">
              <w:rPr>
                <w:b/>
                <w:iCs/>
                <w:sz w:val="24"/>
                <w:szCs w:val="24"/>
              </w:rPr>
              <w:t>Е/01.6</w:t>
            </w:r>
          </w:p>
          <w:p w:rsidR="0005465C" w:rsidRPr="00C21C14" w:rsidRDefault="0005465C" w:rsidP="00007D9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960A2C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эпоху Просвещения и в Новое время..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 классификации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межличностного конфликта: функции, динамика..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25B9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25B95">
        <w:rPr>
          <w:rFonts w:eastAsia="Calibri"/>
          <w:b/>
          <w:color w:val="000000"/>
          <w:sz w:val="24"/>
          <w:szCs w:val="24"/>
        </w:rPr>
        <w:t xml:space="preserve">Критерии оценки: 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C816EA" w:rsidRPr="00C816EA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C21C14" w:rsidRDefault="0005465C" w:rsidP="00C816EA">
      <w:pPr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2.2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</w:t>
      </w:r>
      <w:r w:rsidRPr="00C21C14">
        <w:rPr>
          <w:sz w:val="24"/>
          <w:szCs w:val="24"/>
        </w:rPr>
        <w:lastRenderedPageBreak/>
        <w:t>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 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  <w:r w:rsidR="007E3132"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С.Гераклит</w:t>
      </w:r>
      <w:r w:rsidRPr="00C21C14">
        <w:rPr>
          <w:sz w:val="24"/>
          <w:szCs w:val="24"/>
        </w:rPr>
        <w:br/>
        <w:t xml:space="preserve"> 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</w:t>
      </w:r>
      <w:r w:rsidRPr="00C21C14">
        <w:rPr>
          <w:sz w:val="24"/>
          <w:szCs w:val="24"/>
        </w:rPr>
        <w:lastRenderedPageBreak/>
        <w:t>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1</w:t>
      </w:r>
      <w:r w:rsidR="007E3132"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2</w:t>
      </w:r>
      <w:r w:rsidR="007E3132">
        <w:rPr>
          <w:rFonts w:ascii="Times New Roman" w:hAnsi="Times New Roman" w:cs="Times New Roman"/>
          <w:i/>
        </w:rPr>
        <w:t>.</w:t>
      </w: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</w:t>
      </w:r>
      <w:r w:rsidRPr="00C21C14">
        <w:rPr>
          <w:rFonts w:ascii="Times New Roman" w:hAnsi="Times New Roman" w:cs="Times New Roman"/>
        </w:rPr>
        <w:lastRenderedPageBreak/>
        <w:t xml:space="preserve">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  <w:r w:rsidR="007E3132"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</w:t>
      </w:r>
      <w:r w:rsidR="007E3132">
        <w:rPr>
          <w:sz w:val="24"/>
          <w:szCs w:val="24"/>
        </w:rPr>
        <w:t xml:space="preserve"> рынка? И почему? </w:t>
      </w:r>
    </w:p>
    <w:p w:rsidR="0005465C" w:rsidRPr="00C21C14" w:rsidRDefault="0005465C" w:rsidP="007E3132">
      <w:pPr>
        <w:pStyle w:val="af7"/>
      </w:pPr>
      <w:r w:rsidRPr="00C21C14">
        <w:rPr>
          <w:rFonts w:ascii="Times New Roman" w:hAnsi="Times New Roman" w:cs="Times New Roman"/>
          <w:i/>
        </w:rPr>
        <w:t>Ситуация 1</w:t>
      </w:r>
      <w:r w:rsidR="007E3132">
        <w:rPr>
          <w:rFonts w:ascii="Times New Roman" w:hAnsi="Times New Roman" w:cs="Times New Roman"/>
          <w:i/>
        </w:rPr>
        <w:t xml:space="preserve">. </w:t>
      </w:r>
      <w:r w:rsidRPr="007E3132">
        <w:rPr>
          <w:rFonts w:ascii="Times New Roman" w:eastAsia="Times New Roman" w:hAnsi="Times New Roman" w:cs="Times New Roman"/>
          <w:lang w:eastAsia="ru-RU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7E3132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 xml:space="preserve">Какая модель посредничества имела место в этой притче?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</w:t>
      </w:r>
      <w:r w:rsidR="007E3132">
        <w:rPr>
          <w:sz w:val="24"/>
          <w:szCs w:val="24"/>
        </w:rPr>
        <w:t xml:space="preserve">ьно его участники?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 xml:space="preserve">оценка«не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2.9 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2. Понимание социального конфликта в теориях Вебера, 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Трактовка социального конфликта в работах Парсонса, 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Концепции  конфликта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Темперамент и характер как факторы 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Стили  поведения в межличностном конфликте, его конструктивность и деструктивность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конфликтов,  механизмы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2.10 Темы  групповых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lastRenderedPageBreak/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sectPr w:rsidR="0005465C" w:rsidRPr="00C21C14" w:rsidSect="00E75524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81" w:rsidRDefault="00065181" w:rsidP="002F0D54">
      <w:r>
        <w:separator/>
      </w:r>
    </w:p>
  </w:endnote>
  <w:endnote w:type="continuationSeparator" w:id="0">
    <w:p w:rsidR="00065181" w:rsidRDefault="00065181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81" w:rsidRDefault="00065181" w:rsidP="002F0D54">
      <w:r>
        <w:separator/>
      </w:r>
    </w:p>
  </w:footnote>
  <w:footnote w:type="continuationSeparator" w:id="0">
    <w:p w:rsidR="00065181" w:rsidRDefault="00065181" w:rsidP="002F0D54">
      <w:r>
        <w:continuationSeparator/>
      </w:r>
    </w:p>
  </w:footnote>
  <w:footnote w:id="1">
    <w:p w:rsidR="00065181" w:rsidRDefault="00065181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8"/>
  </w:num>
  <w:num w:numId="3">
    <w:abstractNumId w:val="10"/>
  </w:num>
  <w:num w:numId="4">
    <w:abstractNumId w:val="32"/>
  </w:num>
  <w:num w:numId="5">
    <w:abstractNumId w:val="0"/>
  </w:num>
  <w:num w:numId="6">
    <w:abstractNumId w:val="29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7"/>
  </w:num>
  <w:num w:numId="14">
    <w:abstractNumId w:val="33"/>
  </w:num>
  <w:num w:numId="15">
    <w:abstractNumId w:val="8"/>
  </w:num>
  <w:num w:numId="16">
    <w:abstractNumId w:val="20"/>
  </w:num>
  <w:num w:numId="17">
    <w:abstractNumId w:val="3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5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30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07D94"/>
    <w:rsid w:val="0001104D"/>
    <w:rsid w:val="0001135D"/>
    <w:rsid w:val="00012884"/>
    <w:rsid w:val="000146DF"/>
    <w:rsid w:val="00014DBF"/>
    <w:rsid w:val="00020423"/>
    <w:rsid w:val="0002529F"/>
    <w:rsid w:val="00032CB9"/>
    <w:rsid w:val="00033994"/>
    <w:rsid w:val="000345AE"/>
    <w:rsid w:val="000358A2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65181"/>
    <w:rsid w:val="000737E0"/>
    <w:rsid w:val="00076838"/>
    <w:rsid w:val="00077D16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45542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2EF5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C6BA7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10C0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468F0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E3132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3E61"/>
    <w:rsid w:val="00E75524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09E1-2257-437B-9244-D392395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c">
    <w:name w:val="Информация об изменениях"/>
    <w:basedOn w:val="a0"/>
    <w:next w:val="a0"/>
    <w:uiPriority w:val="99"/>
    <w:rsid w:val="005110C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www.iprbookshop.ru/10705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544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3852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9276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934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BE26-47A5-4347-A525-479CDFCB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9134</Words>
  <Characters>52066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4</cp:revision>
  <cp:lastPrinted>2021-05-24T11:39:00Z</cp:lastPrinted>
  <dcterms:created xsi:type="dcterms:W3CDTF">2022-06-21T08:27:00Z</dcterms:created>
  <dcterms:modified xsi:type="dcterms:W3CDTF">2022-06-21T08:55:00Z</dcterms:modified>
</cp:coreProperties>
</file>