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3C63FF" w:rsidRPr="003C63FF" w:rsidTr="00127C18">
        <w:tc>
          <w:tcPr>
            <w:tcW w:w="4617" w:type="dxa"/>
            <w:hideMark/>
          </w:tcPr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УМК,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наук. А.С. Солнцева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0A0E" w:rsidRPr="00A10A0E" w:rsidRDefault="00A10A0E" w:rsidP="003C63F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F54379" w:rsidRDefault="00A10A0E" w:rsidP="00A10A0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«ЭТНИЧЕСКИЕ ТРАДИЦИИ ФИЗИЧЕСКОЙ КУЛЬТУРЫ НАРОДОВ РОССИЙСКОЙ ФЕДЕРАЦИИ»</w:t>
      </w:r>
    </w:p>
    <w:p w:rsidR="00A10A0E" w:rsidRDefault="00A10A0E" w:rsidP="00A1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F38">
        <w:rPr>
          <w:rFonts w:ascii="Times New Roman" w:hAnsi="Times New Roman"/>
          <w:b/>
          <w:sz w:val="24"/>
          <w:szCs w:val="24"/>
          <w:lang w:eastAsia="ru-RU"/>
        </w:rPr>
        <w:t>Б1.В.ДВ.07.02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3C63FF" w:rsidRPr="003C63FF" w:rsidTr="00127C18">
        <w:trPr>
          <w:trHeight w:val="2116"/>
        </w:trPr>
        <w:tc>
          <w:tcPr>
            <w:tcW w:w="3936" w:type="dxa"/>
            <w:hideMark/>
          </w:tcPr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канд. фармацевт</w:t>
            </w:r>
            <w:proofErr w:type="gramStart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аук, доцент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3FF" w:rsidRPr="003C63FF" w:rsidRDefault="003C63FF" w:rsidP="003C6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3C63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3FF" w:rsidRPr="003C63FF" w:rsidRDefault="003C63FF" w:rsidP="003C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3FF" w:rsidRPr="003C63FF" w:rsidRDefault="003C63FF" w:rsidP="003C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3FF" w:rsidRPr="003C63FF" w:rsidRDefault="003C63FF" w:rsidP="003C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3FF" w:rsidRPr="003C63FF" w:rsidRDefault="003C63FF" w:rsidP="003C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3FF" w:rsidRPr="003C63FF" w:rsidRDefault="003C63FF" w:rsidP="003C6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4 от  22.04.22)</w:t>
            </w:r>
          </w:p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3C63FF" w:rsidRPr="003C63FF" w:rsidRDefault="003C63FF" w:rsidP="003C6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Малаховка, 2022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3DD6" w:rsidRPr="00F54379" w:rsidRDefault="00BE3DD6" w:rsidP="00587FB2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Pr="00F54379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Ж.В.Кузнецова</w:t>
      </w:r>
      <w:proofErr w:type="spellEnd"/>
      <w:r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54379">
        <w:rPr>
          <w:rFonts w:ascii="Times New Roman" w:hAnsi="Times New Roman"/>
          <w:sz w:val="24"/>
          <w:szCs w:val="24"/>
          <w:lang w:eastAsia="ru-RU"/>
        </w:rPr>
        <w:t>к.п</w:t>
      </w:r>
      <w:r>
        <w:rPr>
          <w:rFonts w:ascii="Times New Roman" w:hAnsi="Times New Roman"/>
          <w:sz w:val="24"/>
          <w:szCs w:val="24"/>
          <w:lang w:eastAsia="ru-RU"/>
        </w:rPr>
        <w:t>сих</w:t>
      </w:r>
      <w:r w:rsidRPr="00F54379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F543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BE3DD6" w:rsidRPr="00F54379" w:rsidRDefault="00BE3DD6" w:rsidP="00587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3DD6" w:rsidRPr="00F379AE" w:rsidRDefault="00BE3DD6" w:rsidP="00F379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В.В. Буторин</w:t>
      </w:r>
      <w:r w:rsidR="004373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79AE">
        <w:rPr>
          <w:rFonts w:ascii="Times New Roman" w:hAnsi="Times New Roman"/>
          <w:sz w:val="24"/>
          <w:szCs w:val="24"/>
          <w:lang w:eastAsia="ru-RU"/>
        </w:rPr>
        <w:t>к.п.н., доцент</w:t>
      </w:r>
    </w:p>
    <w:p w:rsidR="00BE3DD6" w:rsidRPr="00F54379" w:rsidRDefault="00BE3DD6" w:rsidP="00F379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9AE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4373C4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>Е.Д. Никитина, профессор, к.п.н.</w:t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944F35" w:rsidRDefault="00BE3DD6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944F35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67"/>
        <w:gridCol w:w="3475"/>
        <w:gridCol w:w="1034"/>
      </w:tblGrid>
      <w:tr w:rsidR="00BE3DD6" w:rsidRPr="004373C4" w:rsidTr="001914E4">
        <w:tc>
          <w:tcPr>
            <w:tcW w:w="1106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Код ПС</w:t>
            </w:r>
          </w:p>
        </w:tc>
        <w:tc>
          <w:tcPr>
            <w:tcW w:w="4167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Профессиональный стандарт</w:t>
            </w:r>
          </w:p>
        </w:tc>
        <w:tc>
          <w:tcPr>
            <w:tcW w:w="3475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Приказ Минтруда России</w:t>
            </w:r>
          </w:p>
        </w:tc>
        <w:tc>
          <w:tcPr>
            <w:tcW w:w="1034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4373C4">
              <w:rPr>
                <w:rFonts w:ascii="Times New Roman" w:hAnsi="Times New Roman"/>
                <w:bCs/>
                <w:lang w:eastAsia="ru-RU"/>
              </w:rPr>
              <w:t>Аббрев</w:t>
            </w:r>
            <w:proofErr w:type="spellEnd"/>
            <w:r w:rsidRPr="004373C4">
              <w:rPr>
                <w:rFonts w:ascii="Times New Roman" w:hAnsi="Times New Roman"/>
                <w:bCs/>
                <w:lang w:eastAsia="ru-RU"/>
              </w:rPr>
              <w:t>. исп. в РПД</w:t>
            </w:r>
          </w:p>
        </w:tc>
      </w:tr>
      <w:tr w:rsidR="00BE3DD6" w:rsidRPr="004373C4" w:rsidTr="001914E4">
        <w:tc>
          <w:tcPr>
            <w:tcW w:w="1106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05.008</w:t>
            </w:r>
          </w:p>
        </w:tc>
        <w:tc>
          <w:tcPr>
            <w:tcW w:w="4167" w:type="dxa"/>
          </w:tcPr>
          <w:p w:rsidR="00BE3DD6" w:rsidRPr="004373C4" w:rsidRDefault="000B51E0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hyperlink r:id="rId8" w:history="1">
              <w:r w:rsidR="00BE3DD6" w:rsidRPr="004373C4">
                <w:rPr>
                  <w:rFonts w:ascii="Times New Roman" w:hAnsi="Times New Roman"/>
                  <w:bCs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5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</w:tcPr>
          <w:p w:rsidR="00BE3DD6" w:rsidRPr="004373C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373C4">
              <w:rPr>
                <w:rFonts w:ascii="Times New Roman" w:hAnsi="Times New Roman"/>
                <w:bCs/>
                <w:lang w:eastAsia="ru-RU"/>
              </w:rPr>
              <w:t>Р</w:t>
            </w:r>
          </w:p>
        </w:tc>
      </w:tr>
    </w:tbl>
    <w:p w:rsidR="00C04FE9" w:rsidRDefault="00C04FE9" w:rsidP="00C04FE9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C04FE9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BE3DD6"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BE3DD6" w:rsidRPr="00775008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BE3DD6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BE3DD6" w:rsidRPr="00F54379" w:rsidRDefault="00BE3DD6" w:rsidP="005A03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75008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2153"/>
        <w:gridCol w:w="1682"/>
      </w:tblGrid>
      <w:tr w:rsidR="00BE3DD6" w:rsidRPr="001B49C5" w:rsidTr="005A030D">
        <w:trPr>
          <w:trHeight w:val="832"/>
        </w:trPr>
        <w:tc>
          <w:tcPr>
            <w:tcW w:w="5778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A16F2E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культуры; историю развития этнически традиционной физической культуры и спорта</w:t>
            </w: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BE3DD6" w:rsidRPr="00E133D7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выстраивать социальные взаимодействия с учетом этнокультурных традиций и конфессиональных различий, лежащих в основе национальных видов спорта;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BE3DD6" w:rsidRPr="00F54379" w:rsidRDefault="00BE3DD6" w:rsidP="00544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способами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</w:t>
            </w:r>
          </w:p>
        </w:tc>
        <w:tc>
          <w:tcPr>
            <w:tcW w:w="2153" w:type="dxa"/>
            <w:vMerge w:val="restart"/>
          </w:tcPr>
          <w:p w:rsidR="00BE3DD6" w:rsidRPr="00F54379" w:rsidRDefault="004373C4" w:rsidP="00D57B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Не используются</w:t>
            </w:r>
          </w:p>
        </w:tc>
        <w:tc>
          <w:tcPr>
            <w:tcW w:w="1682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8F6B80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ситуациях, опираясь на этические нормы социально-культурного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 xml:space="preserve">участниками социальных процессов 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BE3DD6" w:rsidRPr="00E133D7" w:rsidRDefault="00BE3DD6" w:rsidP="003137E0">
            <w:pPr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учитывать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</w:p>
          <w:p w:rsidR="00BE3DD6" w:rsidRPr="00F54379" w:rsidRDefault="00BE3DD6" w:rsidP="005A0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</w:tc>
        <w:tc>
          <w:tcPr>
            <w:tcW w:w="2153" w:type="dxa"/>
            <w:vMerge w:val="restart"/>
          </w:tcPr>
          <w:p w:rsidR="00BE3DD6" w:rsidRPr="00C04FE9" w:rsidRDefault="00C04FE9" w:rsidP="007100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05.008 </w:t>
            </w:r>
          </w:p>
          <w:p w:rsidR="00BE3DD6" w:rsidRPr="00C04FE9" w:rsidRDefault="00BE3DD6" w:rsidP="0071009D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C04FE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BE3DD6" w:rsidRPr="002A0CE5" w:rsidRDefault="00BE3DD6" w:rsidP="0071009D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A0C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BE3DD6" w:rsidRPr="000B1FDB" w:rsidRDefault="00BE3DD6" w:rsidP="000B1FD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BE3DD6" w:rsidRPr="00F54379" w:rsidRDefault="00BE3DD6" w:rsidP="007750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EC57AA" w:rsidRDefault="00BE3DD6" w:rsidP="005A030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57AA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BE3DD6" w:rsidRPr="00A81E97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 сферы физической культуры» относится к дисциплинам части</w:t>
      </w:r>
      <w:r w:rsidRPr="00A81E97">
        <w:rPr>
          <w:rFonts w:ascii="Times New Roman" w:hAnsi="Times New Roman"/>
          <w:sz w:val="24"/>
          <w:szCs w:val="24"/>
        </w:rPr>
        <w:t xml:space="preserve">, 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BE3DD6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изучается в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3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A030D" w:rsidRDefault="005A030D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2946D2" w:rsidRPr="00A81E97" w:rsidRDefault="002946D2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BE3DD6" w:rsidRPr="00F54379" w:rsidRDefault="00BE3DD6" w:rsidP="005A030D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5A0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(СРС)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E3DD6" w:rsidRPr="001B49C5" w:rsidTr="00DC3585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070D6C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670"/>
        <w:gridCol w:w="1134"/>
      </w:tblGrid>
      <w:tr w:rsidR="00BE3DD6" w:rsidRPr="001B49C5" w:rsidTr="005A030D">
        <w:trPr>
          <w:trHeight w:val="519"/>
        </w:trPr>
        <w:tc>
          <w:tcPr>
            <w:tcW w:w="675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BE3DD6" w:rsidRPr="001B49C5" w:rsidTr="005A030D">
        <w:trPr>
          <w:trHeight w:val="121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этнологии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BE3DD6" w:rsidRPr="00D44D48" w:rsidRDefault="00BE3DD6" w:rsidP="005A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Наука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народов мира, их языков,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культур, закономерностей развития 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бытия этнического самосознания. Развитиеэтническитрадиционнойкультуры и спорта.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E3DD6" w:rsidRPr="001B49C5" w:rsidTr="005A030D">
        <w:trPr>
          <w:trHeight w:val="139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Этнические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="00437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</w:p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 как исторически сложившаяся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пределенной территории устойчивая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совокупность людей, обладающая общими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антропометрическими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чертам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стабильными особенностями культуры 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психологического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склада.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Признаки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этноса. Традиционные виды </w:t>
            </w:r>
            <w:proofErr w:type="spellStart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спортанародов</w:t>
            </w:r>
            <w:proofErr w:type="spellEnd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России и их характеристика</w:t>
            </w:r>
            <w:proofErr w:type="gramStart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бряды инициации физические испытанияу этносов населяющих территорию РФ.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E3DD6" w:rsidRPr="001B49C5" w:rsidTr="005A030D">
        <w:trPr>
          <w:trHeight w:val="55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Этническое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 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его роль в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BE3DD6" w:rsidRPr="00D44D48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самосознание и спортивная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компонент обыденной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 Спортивная культура как часть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этнической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состязания народов России. Ментальность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как консолидирующий этнос фактор.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Влияние ментальности на различные виды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деятельности. Культ тела вэтническом самосознании народов РФ.Спортивная деятельность и притязание напризнание.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04FE9" w:rsidRPr="001B49C5" w:rsidTr="00C04FE9">
        <w:trPr>
          <w:trHeight w:val="330"/>
        </w:trPr>
        <w:tc>
          <w:tcPr>
            <w:tcW w:w="675" w:type="dxa"/>
          </w:tcPr>
          <w:p w:rsidR="00C04FE9" w:rsidRPr="00D44D48" w:rsidRDefault="00C04FE9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4FE9" w:rsidRPr="00070D6C" w:rsidRDefault="00C04FE9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</w:tcPr>
          <w:p w:rsidR="00C04FE9" w:rsidRPr="00D35EB8" w:rsidRDefault="00C04FE9" w:rsidP="00D35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FE9" w:rsidRDefault="00C04FE9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20523A" w:rsidRPr="003F44A1" w:rsidRDefault="0020523A" w:rsidP="002052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3F44A1">
        <w:rPr>
          <w:rFonts w:ascii="Times New Roman" w:hAnsi="Times New Roman"/>
          <w:b/>
          <w:bCs/>
        </w:rPr>
        <w:t xml:space="preserve">Разделы </w:t>
      </w:r>
      <w:r w:rsidR="004373C4">
        <w:rPr>
          <w:rFonts w:ascii="Times New Roman" w:hAnsi="Times New Roman"/>
          <w:b/>
          <w:bCs/>
        </w:rPr>
        <w:t>дисциплины и виды занятий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270"/>
        <w:gridCol w:w="851"/>
        <w:gridCol w:w="850"/>
        <w:gridCol w:w="851"/>
        <w:gridCol w:w="1133"/>
      </w:tblGrid>
      <w:tr w:rsidR="00BE3DD6" w:rsidTr="00D35EB8">
        <w:trPr>
          <w:trHeight w:val="367"/>
        </w:trPr>
        <w:tc>
          <w:tcPr>
            <w:tcW w:w="646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E3DD6" w:rsidTr="00A16F2E">
        <w:trPr>
          <w:trHeight w:val="194"/>
        </w:trPr>
        <w:tc>
          <w:tcPr>
            <w:tcW w:w="646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 w:rsidP="00D35E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Этнические особенности физической культуры и спорта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7B25FF" w:rsidRPr="00A16F2E" w:rsidRDefault="007B25FF" w:rsidP="007B2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F2E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A16F2E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16F2E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035"/>
        <w:gridCol w:w="1701"/>
      </w:tblGrid>
      <w:tr w:rsidR="0020523A" w:rsidRPr="00213179" w:rsidTr="00521AC1">
        <w:tc>
          <w:tcPr>
            <w:tcW w:w="728" w:type="dxa"/>
            <w:vMerge w:val="restart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035" w:type="dxa"/>
            <w:vMerge w:val="restart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20523A" w:rsidRPr="00213179" w:rsidTr="00521AC1">
        <w:tc>
          <w:tcPr>
            <w:tcW w:w="728" w:type="dxa"/>
            <w:vMerge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vMerge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П. 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Альфа-М : ИНФРА-М, 2014. - 350 с. - (Бакалавриат).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в конце каждой главы. - ISBN 978-5-98281-018-2. - ISBN 978-5-16-001697-9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783.00.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студентов вузов / Т. Г. Стефаненко. - 5-е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 - М. : Аспект Пресс, 2014. - 350 с.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332-351. - ISBN 978-5-7567-0731-1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775.00.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Крысько В. Г. Этническая 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В. Г. Крысько. - 4-е изд., стереотип. - М.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2008. - 313 с. - (Высшее профессиональное образование).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300-311. - ISBN 978-5-7695-4880-2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545.38. 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этнологии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Александренков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И. Алексеева, С. А. Арутюнов, Р. Ш.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Джарылгасинова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Московский государственный университет имени М.В. Ломоносова, 2007. — 696 c. — ISBN 978-5-211-05321-2.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3F44A1">
                <w:t>http://www.iprbookshop.ru/13420.html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А. П. Основы этнологии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2017. — 351 c. — ISBN 5-238-00583-0.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http://www.iprbookshop.ru/81523.html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Г. Т. 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 Т.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— 2-е изд. — Москва : Дашков и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2018. — 408 c. — ISBN 978-55394-02617-1.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http://www.iprbookshop.ru/85678.html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Цветков, А. В. Этнопсихология. Учебное пособие в схемах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 вузов / А. В. Цветков, А. В. Соловьева.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2014. — 119 c. — ISBN 978-5-238-02547-6.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http://www.iprbookshop.ru/21013.html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Стефаненко, Т. Г. 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студентов вузов / Т. Г. Стефаненко.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 Пресс, 2014. — 352 c. — ISBN 978-5-7567-0731-1.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http://www.iprbookshop.ru/56808.html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35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Резников, Е. Н. Психология этнического общения / Е. Н. Резников. — 2-е изд.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«Институт психологии РАН», 2019. — 159 c. — ISBN 978-5-9270-0117-0.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http://www.iprbookshop.ru/88380.html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35"/>
        </w:trPr>
        <w:tc>
          <w:tcPr>
            <w:tcW w:w="728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</w:tcPr>
          <w:p w:rsidR="0020523A" w:rsidRPr="00F825B3" w:rsidRDefault="0020523A" w:rsidP="00521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9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Лебедева, Н. М. </w:t>
            </w:r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Этнопсихология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М. Лебедева. — Москва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2020. — 491 с. — (Высшее образование). — ISBN 978-5-534-02318-3. — Текст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4" w:tgtFrame="_blank" w:history="1">
              <w:r w:rsidRPr="00B25995">
                <w:rPr>
                  <w:rStyle w:val="a6"/>
                  <w:sz w:val="24"/>
                  <w:szCs w:val="24"/>
                  <w:shd w:val="clear" w:color="auto" w:fill="FFFFFF"/>
                </w:rPr>
                <w:t>https://urait.ru/bcode/450245</w:t>
              </w:r>
            </w:hyperlink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0523A" w:rsidRDefault="0020523A" w:rsidP="00521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523A" w:rsidRPr="00213179" w:rsidRDefault="0020523A" w:rsidP="0020523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047"/>
        <w:gridCol w:w="1843"/>
      </w:tblGrid>
      <w:tr w:rsidR="0020523A" w:rsidRPr="00213179" w:rsidTr="00521AC1">
        <w:tc>
          <w:tcPr>
            <w:tcW w:w="716" w:type="dxa"/>
            <w:vMerge w:val="restart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7047" w:type="dxa"/>
            <w:vMerge w:val="restart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20523A" w:rsidRPr="00213179" w:rsidTr="00521AC1">
        <w:tc>
          <w:tcPr>
            <w:tcW w:w="716" w:type="dxa"/>
            <w:vMerge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  <w:vMerge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20523A" w:rsidRPr="00213179" w:rsidTr="00521AC1">
        <w:trPr>
          <w:trHeight w:val="135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5"/>
              </w:numPr>
              <w:shd w:val="clear" w:color="auto" w:fill="FFFFFF" w:themeFill="background1"/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 Этнопсихология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 лекций / О.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Приор-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, 2005. - 160 с. - ISBN 5-9512-0411-9 : 57.50. 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Ж. В.   Противоречие между северными и южными алтайцами как фактор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внутриэтнической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напряженности / Ж. В. Кузнецова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МГАФК // Научный альманах МГАФК. - Малаховка, 2011. - С. 280-284. -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.: с. 284.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Лурье, С. В. Историческая 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С. В. Лурье.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2003. — 624 c. — ISBN 5-8291-0352-4.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http://www.iprbookshop.ru/36337.html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Этнология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Т. С.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Гузенкова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Л. Б.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Заседателева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Ю. И. Зверева [и др.] ; под редакцией Е.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В. В. Пименов.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Культура, 2010. — 640 c. — ISBN 5-8291-0499-7.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http://www.iprbookshop.ru/60046.html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Ермаков, В. А. Этнопсихология. Хрестоматия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В. А. Ермаков.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Евразийский открытый институт, 2011. — 392 c. — ISBN 978-5-374-00163-1.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http://www.iprbookshop.ru/11139.html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Малкин, В. Спорт – это психология / В. Малкин,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«Спорт», 2015. — 174 c. — ISBN 978-5-9906578-3-0.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http://www.iprbookshop.ru/43914.html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Н. А. Адаптационная и этническая физиология. Продолжительность жизни и здоровье человека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Москва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Российский университет дружбы народов, 2009. — 48 c. — ISBN 978-5-209-03704-0.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http://www.iprbookshop.ru/11559.html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М. Ю. Институты и этногенез. Институциональное воспроизводство этнической идентичности в локальных сообществах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М. Ю.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Ростов-на-Дону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Южного федерального университета, 2014. — 372 c. — ISBN 978-5-9275-1276-8.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http://www.iprbookshop.ru/64418.html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, Н. Л. Этническая социология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Новосибирск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Сибирский государственный университет телекоммуникаций и информатики, 2016. — 86 c. — ISBN 2227-8397. — Текст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http://www.iprbookshop.ru/69570.html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Pr="00213179" w:rsidRDefault="0020523A" w:rsidP="00521A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523A" w:rsidRPr="00213179" w:rsidTr="00521AC1">
        <w:trPr>
          <w:trHeight w:val="120"/>
        </w:trPr>
        <w:tc>
          <w:tcPr>
            <w:tcW w:w="716" w:type="dxa"/>
          </w:tcPr>
          <w:p w:rsidR="0020523A" w:rsidRPr="00213179" w:rsidRDefault="0020523A" w:rsidP="0020523A">
            <w:pPr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20523A" w:rsidRPr="00B25995" w:rsidRDefault="0020523A" w:rsidP="00521A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Этнология (этнография)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В. А. Козьмин [и др.] ; под редакцией В. А. Козьмина, В. С. Бузина. — Москва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, 2020. — 438 с. — (Высшее образование). — ISBN 978-5-534-00916-3. — Текст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[сайт]. — URL: </w:t>
            </w:r>
            <w:hyperlink r:id="rId22" w:tgtFrame="_blank" w:history="1">
              <w:r w:rsidRPr="00B25995">
                <w:rPr>
                  <w:rStyle w:val="a6"/>
                  <w:iCs/>
                  <w:sz w:val="24"/>
                  <w:szCs w:val="24"/>
                </w:rPr>
                <w:t>https://urait.ru/bcode/450079</w:t>
              </w:r>
            </w:hyperlink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(дата обращения: 28.11.2021). — Режим доступа: для </w:t>
            </w:r>
            <w:proofErr w:type="spellStart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3F4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843" w:type="dxa"/>
          </w:tcPr>
          <w:p w:rsidR="0020523A" w:rsidRDefault="0020523A" w:rsidP="00521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523A" w:rsidRPr="00213179" w:rsidRDefault="0020523A" w:rsidP="0020523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523A" w:rsidRPr="00B25995" w:rsidRDefault="0020523A" w:rsidP="0020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0523A" w:rsidRPr="00B25995" w:rsidRDefault="0020523A" w:rsidP="0020523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3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20523A" w:rsidRPr="00B25995" w:rsidRDefault="0020523A" w:rsidP="0020523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20523A" w:rsidRPr="00B25995" w:rsidRDefault="0020523A" w:rsidP="0020523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6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7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20523A" w:rsidRPr="003F44A1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F2F2F"/>
        </w:rPr>
      </w:pPr>
      <w:r w:rsidRPr="003F44A1">
        <w:rPr>
          <w:rFonts w:ascii="Times New Roman" w:hAnsi="Times New Roman"/>
        </w:rPr>
        <w:t>Министерство науки и высшего образования Российской Федерации</w:t>
      </w:r>
      <w:r w:rsidRPr="003F44A1">
        <w:rPr>
          <w:rFonts w:ascii="Times New Roman" w:hAnsi="Times New Roman"/>
          <w:color w:val="2F2F2F"/>
        </w:rPr>
        <w:t xml:space="preserve"> </w:t>
      </w:r>
      <w:hyperlink r:id="rId28" w:history="1">
        <w:r w:rsidRPr="003F44A1">
          <w:rPr>
            <w:rFonts w:ascii="Times New Roman" w:hAnsi="Times New Roman"/>
            <w:color w:val="0066CC"/>
            <w:u w:val="single"/>
          </w:rPr>
          <w:t>https://minobrnauki.gov.ru/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9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30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2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3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B2599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20523A" w:rsidRPr="00B25995" w:rsidRDefault="0020523A" w:rsidP="0020523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</w:t>
      </w: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5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20523A" w:rsidRPr="00B25995" w:rsidRDefault="0020523A" w:rsidP="0020523A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6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20523A" w:rsidRPr="00B25995" w:rsidRDefault="0020523A" w:rsidP="0020523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7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23A" w:rsidRPr="00213179" w:rsidRDefault="0020523A" w:rsidP="0020523A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caps/>
          <w:sz w:val="24"/>
          <w:szCs w:val="24"/>
        </w:rPr>
        <w:t>8. М</w:t>
      </w:r>
      <w:r w:rsidRPr="00213179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8.1.</w:t>
      </w:r>
      <w:r w:rsidRPr="00213179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20523A" w:rsidRPr="00213179" w:rsidRDefault="0020523A" w:rsidP="0020523A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8.2. Программное обеспечение. </w:t>
      </w:r>
    </w:p>
    <w:p w:rsidR="0020523A" w:rsidRPr="00213179" w:rsidRDefault="0020523A" w:rsidP="0020523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13179">
        <w:rPr>
          <w:rFonts w:ascii="Times New Roman" w:hAnsi="Times New Roman"/>
          <w:sz w:val="24"/>
          <w:szCs w:val="24"/>
        </w:rPr>
        <w:t>LibreOffice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213179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13179">
        <w:rPr>
          <w:rFonts w:ascii="Times New Roman" w:hAnsi="Times New Roman"/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о</w:t>
      </w:r>
      <w:r w:rsidRPr="00213179">
        <w:rPr>
          <w:rFonts w:ascii="Times New Roman" w:hAnsi="Times New Roman"/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э</w:t>
      </w:r>
      <w:r w:rsidRPr="0021317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213179">
        <w:rPr>
          <w:rFonts w:ascii="Times New Roman" w:hAnsi="Times New Roman"/>
          <w:sz w:val="24"/>
          <w:szCs w:val="24"/>
        </w:rPr>
        <w:t>Deskset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</w:rPr>
        <w:t xml:space="preserve">акустическая </w:t>
      </w:r>
      <w:proofErr w:type="spellStart"/>
      <w:r w:rsidRPr="00213179">
        <w:rPr>
          <w:rFonts w:ascii="Times New Roman" w:hAnsi="Times New Roman"/>
          <w:sz w:val="24"/>
          <w:szCs w:val="24"/>
        </w:rPr>
        <w:t>система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20523A" w:rsidRPr="00213179" w:rsidRDefault="0020523A" w:rsidP="0020523A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0523A" w:rsidRPr="00213179" w:rsidRDefault="0020523A" w:rsidP="0020523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20523A" w:rsidP="002946D2">
      <w:pPr>
        <w:spacing w:after="0" w:line="240" w:lineRule="auto"/>
        <w:jc w:val="right"/>
        <w:rPr>
          <w:rFonts w:ascii="Times New Roman" w:hAnsi="Times New Roman"/>
          <w:i/>
        </w:rPr>
      </w:pPr>
      <w:r w:rsidRPr="00213179">
        <w:rPr>
          <w:rFonts w:cs="Tahoma"/>
          <w:sz w:val="24"/>
          <w:szCs w:val="24"/>
        </w:rPr>
        <w:br w:type="page"/>
      </w:r>
      <w:r w:rsidR="00B25995" w:rsidRPr="002C3A70">
        <w:rPr>
          <w:rFonts w:ascii="Times New Roman" w:hAnsi="Times New Roman"/>
          <w:i/>
        </w:rPr>
        <w:lastRenderedPageBreak/>
        <w:t xml:space="preserve"> </w:t>
      </w:r>
      <w:r w:rsidR="00FB7906" w:rsidRPr="002C3A70">
        <w:rPr>
          <w:rFonts w:ascii="Times New Roman" w:hAnsi="Times New Roman"/>
          <w:i/>
        </w:rPr>
        <w:t>Приложение к Рабочей программе дисциплины</w:t>
      </w:r>
    </w:p>
    <w:p w:rsidR="00FB7906" w:rsidRPr="002C3A70" w:rsidRDefault="00FB7906" w:rsidP="00C04FE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</w:rPr>
      </w:pPr>
      <w:r w:rsidRPr="002C3A70">
        <w:rPr>
          <w:rFonts w:ascii="Times New Roman" w:hAnsi="Times New Roman"/>
          <w:i/>
        </w:rPr>
        <w:t>«</w:t>
      </w:r>
      <w:r w:rsidRPr="00C04FE9">
        <w:rPr>
          <w:rFonts w:ascii="Times New Roman" w:hAnsi="Times New Roman"/>
          <w:i/>
        </w:rPr>
        <w:t>Этнические  традиции   физической культуры народов РФ»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высшего образования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906" w:rsidRPr="004373C4" w:rsidRDefault="00FB7906" w:rsidP="004373C4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C63FF" w:rsidRPr="003C63FF" w:rsidRDefault="003C63FF" w:rsidP="003C63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C63FF" w:rsidRPr="003C63FF" w:rsidRDefault="003C63FF" w:rsidP="003C63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протокол № 6/22 от «21» июня 2022г.</w:t>
      </w:r>
    </w:p>
    <w:p w:rsidR="003C63FF" w:rsidRPr="003C63FF" w:rsidRDefault="003C63FF" w:rsidP="003C63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УМК, </w:t>
      </w:r>
    </w:p>
    <w:p w:rsidR="003C63FF" w:rsidRPr="003C63FF" w:rsidRDefault="003C63FF" w:rsidP="003C63F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>и. о. проректора по учебной работе</w:t>
      </w:r>
    </w:p>
    <w:p w:rsidR="0020523A" w:rsidRPr="004373C4" w:rsidRDefault="003C63FF" w:rsidP="003C63FF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>___________________А.С. Солнцева</w:t>
      </w:r>
    </w:p>
    <w:p w:rsidR="00FB7906" w:rsidRPr="002C3A70" w:rsidRDefault="00FB7906" w:rsidP="00A10A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FB7906" w:rsidRPr="002C3A70" w:rsidTr="00FB7906">
        <w:tc>
          <w:tcPr>
            <w:tcW w:w="4928" w:type="dxa"/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A70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по дисциплине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sz w:val="28"/>
          <w:szCs w:val="28"/>
        </w:rPr>
        <w:t>«</w:t>
      </w:r>
      <w:r w:rsidRPr="00A579E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ЭТНИЧЕСКИЕ ТРАДИЦИИ </w:t>
      </w:r>
      <w:r w:rsidR="00A16F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ФИЗИЧЕСКОЙ КУЛЬТУРЫ НАРОДОВ РОССИЙСКОЙ ФЕДЕРАЦИИ»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A16F2E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FB7906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40B" w:rsidRPr="002C3A70" w:rsidRDefault="007C440B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3FF" w:rsidRPr="003C63FF" w:rsidRDefault="003C63FF" w:rsidP="003C6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3C63FF" w:rsidRPr="003C63FF" w:rsidRDefault="003C63FF" w:rsidP="003C63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 xml:space="preserve">(протокол № 4 от «22» апреля 2022г.) </w:t>
      </w:r>
    </w:p>
    <w:p w:rsidR="003C63FF" w:rsidRPr="003C63FF" w:rsidRDefault="003C63FF" w:rsidP="003C63FF">
      <w:pPr>
        <w:shd w:val="clear" w:color="auto" w:fill="FFFFFF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____________/_В.В. Буторин</w:t>
      </w: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3FF" w:rsidRPr="003C63FF" w:rsidRDefault="003C63FF" w:rsidP="003C63F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6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Малаховка, 2022</w:t>
      </w:r>
    </w:p>
    <w:p w:rsidR="00FB7906" w:rsidRPr="002C3A70" w:rsidRDefault="00C04FE9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  <w:r w:rsidR="00FB7906" w:rsidRPr="002C3A70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B7906" w:rsidRPr="002C3A70" w:rsidRDefault="00FB7906" w:rsidP="00FB79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FB7906" w:rsidRPr="002C3A70" w:rsidTr="00FB790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AA02DF" w:rsidP="00FB7906">
            <w:pPr>
              <w:pStyle w:val="Default"/>
              <w:shd w:val="clear" w:color="auto" w:fill="FFFFFF"/>
              <w:rPr>
                <w:rFonts w:ascii="Times New Roman" w:hAnsi="Times New Roman"/>
                <w:i/>
                <w:color w:val="auto"/>
                <w:spacing w:val="-1"/>
              </w:rPr>
            </w:pPr>
            <w:r>
              <w:rPr>
                <w:rFonts w:ascii="Times New Roman" w:hAnsi="Times New Roman"/>
              </w:rPr>
              <w:t>Не используются</w:t>
            </w:r>
            <w:r w:rsidR="004373C4">
              <w:rPr>
                <w:rFonts w:ascii="Times New Roman" w:hAnsi="Times New Roman"/>
                <w:i/>
                <w:color w:val="auto"/>
                <w:spacing w:val="-1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C0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выстраивает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C04FE9" w:rsidRDefault="00C04FE9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</w:t>
            </w:r>
            <w:r w:rsidR="00FB7906"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05.008 </w:t>
            </w:r>
          </w:p>
          <w:p w:rsidR="00FB7906" w:rsidRPr="00C04FE9" w:rsidRDefault="00FB7906" w:rsidP="00FB7906">
            <w:pPr>
              <w:pStyle w:val="Default"/>
              <w:shd w:val="clear" w:color="auto" w:fill="FFFFFF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C04FE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FB7906" w:rsidRPr="002C3A70" w:rsidRDefault="00FB7906" w:rsidP="00FB7906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C3A7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Знает 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FB7906" w:rsidRPr="002C3A70" w:rsidRDefault="00FB7906" w:rsidP="00FB7906">
            <w:pPr>
              <w:shd w:val="clear" w:color="auto" w:fill="FFFFFF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FB7906" w:rsidRPr="002C3A70" w:rsidRDefault="0021228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FB7906" w:rsidRPr="002C3A70">
              <w:rPr>
                <w:rFonts w:ascii="Times New Roman" w:hAnsi="Times New Roman"/>
                <w:sz w:val="24"/>
                <w:szCs w:val="24"/>
              </w:rPr>
              <w:t xml:space="preserve"> 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</w:rPr>
        <w:br w:type="page"/>
      </w:r>
      <w:r w:rsidRPr="002C3A70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2C3A70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Предмет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Связь этнологии с другими науками.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Заинтересованность этнологии в смежных дисциплинах.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Зарубежные и отечественные предтечи в современной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Основные понятия, строящие тезаурус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«Мы»</w:t>
      </w:r>
      <w:proofErr w:type="gramStart"/>
      <w:r w:rsidRPr="00965819">
        <w:rPr>
          <w:rFonts w:ascii="Times New Roman" w:hAnsi="Times New Roman"/>
          <w:sz w:val="24"/>
          <w:szCs w:val="24"/>
        </w:rPr>
        <w:t>—«</w:t>
      </w:r>
      <w:proofErr w:type="gramEnd"/>
      <w:r w:rsidRPr="00965819">
        <w:rPr>
          <w:rFonts w:ascii="Times New Roman" w:hAnsi="Times New Roman"/>
          <w:sz w:val="24"/>
          <w:szCs w:val="24"/>
        </w:rPr>
        <w:t>Они» в этническом самосознании.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Реальность  социального  пространства. Права  и обязанности. Общечеловеческие и этнические особенности.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Социальное пространство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Внутренняя позиция и развитие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Этническая идентичность и этническое самосознание.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и межэтнические отношения.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Механизмы   развития  этнического  самосознания   и   межэтнических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— общая характеристика.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Межэтнические отношения этносов, прож</w:t>
      </w:r>
      <w:r w:rsidR="00C04FE9">
        <w:rPr>
          <w:rFonts w:ascii="Times New Roman" w:hAnsi="Times New Roman"/>
          <w:sz w:val="24"/>
          <w:szCs w:val="24"/>
        </w:rPr>
        <w:t xml:space="preserve">ивающих в одном </w:t>
      </w:r>
      <w:proofErr w:type="spellStart"/>
      <w:r w:rsidR="00C04FE9">
        <w:rPr>
          <w:rFonts w:ascii="Times New Roman" w:hAnsi="Times New Roman"/>
          <w:sz w:val="24"/>
          <w:szCs w:val="24"/>
        </w:rPr>
        <w:t>геоисторическом</w:t>
      </w:r>
      <w:proofErr w:type="spellEnd"/>
      <w:r w:rsidR="00C04FE9">
        <w:rPr>
          <w:rFonts w:ascii="Times New Roman" w:hAnsi="Times New Roman"/>
          <w:sz w:val="24"/>
          <w:szCs w:val="24"/>
        </w:rPr>
        <w:t xml:space="preserve"> </w:t>
      </w:r>
      <w:r w:rsidRPr="00965819">
        <w:rPr>
          <w:rFonts w:ascii="Times New Roman" w:hAnsi="Times New Roman"/>
          <w:sz w:val="24"/>
          <w:szCs w:val="24"/>
        </w:rPr>
        <w:t>пространстве. Общие законоположения взаимодействия. Общие закономерности взаимодействия.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Психология межэтнических дистанций.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Проблема межэтнической ассимиляции, интеграции, сепарации, </w:t>
      </w:r>
      <w:proofErr w:type="spellStart"/>
      <w:r w:rsidRPr="0096581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965819">
        <w:rPr>
          <w:rFonts w:ascii="Times New Roman" w:hAnsi="Times New Roman"/>
          <w:sz w:val="24"/>
          <w:szCs w:val="24"/>
        </w:rPr>
        <w:t>, геноцида.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581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965819">
        <w:rPr>
          <w:rFonts w:ascii="Times New Roman" w:hAnsi="Times New Roman"/>
          <w:sz w:val="24"/>
          <w:szCs w:val="24"/>
        </w:rPr>
        <w:t xml:space="preserve"> как краевое состояние. Этническая </w:t>
      </w:r>
      <w:proofErr w:type="spellStart"/>
      <w:r w:rsidRPr="0096581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965819">
        <w:rPr>
          <w:rFonts w:ascii="Times New Roman" w:hAnsi="Times New Roman"/>
          <w:sz w:val="24"/>
          <w:szCs w:val="24"/>
        </w:rPr>
        <w:t>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Межэтническая агрессия.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Концепции последствий межкультурных контактов (Берри Дж., </w:t>
      </w:r>
      <w:proofErr w:type="spellStart"/>
      <w:r w:rsidRPr="00965819">
        <w:rPr>
          <w:rFonts w:ascii="Times New Roman" w:hAnsi="Times New Roman"/>
          <w:sz w:val="24"/>
          <w:szCs w:val="24"/>
        </w:rPr>
        <w:t>Белнер</w:t>
      </w:r>
      <w:proofErr w:type="spellEnd"/>
      <w:r w:rsidRPr="00965819">
        <w:rPr>
          <w:rFonts w:ascii="Times New Roman" w:hAnsi="Times New Roman"/>
          <w:sz w:val="24"/>
          <w:szCs w:val="24"/>
        </w:rPr>
        <w:t xml:space="preserve"> С. и др.)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Притязание на признание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Особенности половой идентификации в традиционных и современных культурах.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психологического времени.</w:t>
      </w:r>
    </w:p>
    <w:p w:rsidR="00FB7906" w:rsidRP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906">
        <w:rPr>
          <w:rFonts w:ascii="Times New Roman" w:hAnsi="Times New Roman"/>
          <w:sz w:val="24"/>
          <w:szCs w:val="24"/>
        </w:rPr>
        <w:t>Варианты психологического времени в разных культурах.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Психологические особенности родовых культур.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Влияние ментальности на различные виды спортивной деятельности. 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Культ тела в этническом самосознании народов РФ.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Спортивная деятельность и притязание на признание.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lastRenderedPageBreak/>
        <w:t xml:space="preserve">Традиционные виды спорта народов России и их характеристика.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Обряды инициации физические испытания у этносов населяющих территорию РФ.</w:t>
      </w:r>
    </w:p>
    <w:p w:rsidR="00FB7906" w:rsidRPr="002C3A70" w:rsidRDefault="00FB7906" w:rsidP="00A16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 физической культуры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предметом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объектом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Каковы основные задачи этнологии </w:t>
      </w:r>
      <w:r>
        <w:rPr>
          <w:rFonts w:ascii="Times New Roman" w:hAnsi="Times New Roman"/>
          <w:sz w:val="24"/>
          <w:szCs w:val="24"/>
        </w:rPr>
        <w:t>ФК?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Назовите связь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с другими науками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на этнические процессы развитие этнически традиционной физической культуры и спорта?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лежит в основе этнически традиционной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?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этнически традиционная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и спорт определяют этническое самосознание?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2. Этнические особенности физической культуры и спорта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Этнос как исторически сложившаяся на определенной территории устойчивая совокупность людей.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Общие антропометрические черты и их влияние на этническое самосознание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Проявление этнической ментальности в особенностях культуры и психологического склада. 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Признаки этноса.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Расскажите про этнически обусловленные виды физической активности.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этническое самосознание на спортивную деятельность?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играет этнический компонент обыденной культуры?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B36C0" w:rsidRPr="00C04FE9" w:rsidRDefault="008C7C05" w:rsidP="00C04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 xml:space="preserve">2.3. </w:t>
      </w:r>
      <w:r w:rsidR="00BB36C0" w:rsidRPr="00C04FE9">
        <w:rPr>
          <w:rFonts w:ascii="Times New Roman" w:hAnsi="Times New Roman"/>
          <w:b/>
          <w:sz w:val="24"/>
          <w:szCs w:val="24"/>
        </w:rPr>
        <w:t>Вопросы для обсуждения (дискуссии)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Традиционные виды спорта народов России и их характеристика.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Обряды инициации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Физические испытания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Философски-обрядовые основы </w:t>
      </w:r>
      <w:r w:rsidRPr="00F56D08">
        <w:rPr>
          <w:rFonts w:ascii="Times New Roman" w:hAnsi="Times New Roman"/>
          <w:sz w:val="24"/>
          <w:szCs w:val="24"/>
        </w:rPr>
        <w:t>традиционных видов спорта народов  РФ.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Севера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Этнические особенности физической культуры и спорта народов Северного Кавказа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Русского народа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Сибири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Поволжья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Можно ли считать спортивную культуру частью этнической культуры?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в межэтнических отношениях играют спортивные состязания народов России.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консолидирующий этнос фактор?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фактор провоцирующий межэтнические конфликты?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влияет ментальность на различные виды спортивной деятельности?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проявляется культ тела в этническом самосознании народов РФ?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коррелируют спортивная деятельность и притязание на признание?</w:t>
      </w:r>
    </w:p>
    <w:p w:rsidR="00BB36C0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B36C0" w:rsidRPr="00497C01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97C01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BB36C0" w:rsidRPr="00FB50DB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</w:t>
      </w:r>
      <w:r>
        <w:t>зачтено</w:t>
      </w:r>
      <w:r w:rsidRPr="00FB50DB">
        <w:t xml:space="preserve">» выставляется обучающемуся, если </w:t>
      </w:r>
      <w:r>
        <w:t>он демонстрирует понимание обсуждаемой проблемы, высказывает собственное суждение по обсуждаемому вопросу, применяя научную терминологию аргументировано отвечает на вопросы участников, соблюдает регламент выступления</w:t>
      </w:r>
      <w:r w:rsidRPr="00FB50DB">
        <w:t>;</w:t>
      </w:r>
    </w:p>
    <w:p w:rsidR="00BB36C0" w:rsidRPr="00062690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обучающемуся, если он не принимает участия в обсуждении, при полемике не соблюдает этические нормы, проигнорировал данный вид работы.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Раздел 1.Предмет и задачи этнопсихологии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1.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Задание1. </w:t>
      </w:r>
      <w:r w:rsidRPr="00C04FE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="00A16F2E">
        <w:rPr>
          <w:rStyle w:val="w"/>
          <w:rFonts w:ascii="Times New Roman" w:hAnsi="Times New Roman"/>
          <w:b/>
          <w:sz w:val="24"/>
          <w:szCs w:val="24"/>
        </w:rPr>
        <w:t xml:space="preserve">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C04FE9">
        <w:rPr>
          <w:rStyle w:val="w"/>
          <w:rFonts w:ascii="Times New Roman" w:hAnsi="Times New Roman"/>
          <w:sz w:val="24"/>
          <w:szCs w:val="24"/>
        </w:rPr>
        <w:t>греч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04FE9">
        <w:rPr>
          <w:rStyle w:val="w"/>
          <w:rFonts w:ascii="Times New Roman" w:hAnsi="Times New Roman"/>
          <w:sz w:val="24"/>
          <w:szCs w:val="24"/>
        </w:rPr>
        <w:t>племя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народ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>) –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межпоколенная</w:t>
      </w:r>
      <w:proofErr w:type="spellEnd"/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 w:rsidRPr="00C04FE9">
        <w:rPr>
          <w:rStyle w:val="w"/>
          <w:rFonts w:ascii="Times New Roman" w:hAnsi="Times New Roman"/>
          <w:sz w:val="24"/>
          <w:szCs w:val="24"/>
        </w:rPr>
        <w:t>юдей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объединенная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длительным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совместным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проживанием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определенной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общими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языком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C04FE9">
        <w:rPr>
          <w:rStyle w:val="w"/>
          <w:rFonts w:ascii="Times New Roman" w:hAnsi="Times New Roman"/>
          <w:sz w:val="24"/>
          <w:szCs w:val="24"/>
        </w:rPr>
        <w:t>культурой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</w:t>
      </w:r>
      <w:proofErr w:type="spellStart"/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Style w:val="w"/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lastRenderedPageBreak/>
        <w:t xml:space="preserve">Задание 3. </w:t>
      </w:r>
      <w:proofErr w:type="spellStart"/>
      <w:r w:rsidRPr="00C04FE9">
        <w:rPr>
          <w:rFonts w:ascii="Times New Roman" w:hAnsi="Times New Roman"/>
          <w:b/>
          <w:sz w:val="24"/>
          <w:szCs w:val="24"/>
        </w:rPr>
        <w:t>Субэтнос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- (лат.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sub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— под + гр.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комплиментарности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составляющих его членов.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2.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1. </w:t>
      </w:r>
      <w:r w:rsidRPr="00C04FE9">
        <w:rPr>
          <w:rFonts w:ascii="Times New Roman" w:hAnsi="Times New Roman"/>
          <w:b/>
          <w:sz w:val="24"/>
          <w:szCs w:val="24"/>
        </w:rPr>
        <w:t>Нация</w:t>
      </w:r>
      <w:r w:rsidRPr="00C04FE9">
        <w:rPr>
          <w:rFonts w:ascii="Times New Roman" w:hAnsi="Times New Roman"/>
          <w:sz w:val="24"/>
          <w:szCs w:val="24"/>
        </w:rPr>
        <w:t xml:space="preserve"> -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 </w:t>
      </w:r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C04FE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</w:t>
      </w:r>
      <w:proofErr w:type="gramStart"/>
      <w:r w:rsidRPr="00C04FE9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( лат. </w:t>
      </w:r>
      <w:proofErr w:type="spellStart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super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 – сверх + греч. ἔθνος – народ ) — в </w:t>
      </w:r>
      <w:proofErr w:type="spellStart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пассионарной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2C3A70">
        <w:rPr>
          <w:rFonts w:ascii="Times New Roman" w:hAnsi="Times New Roman"/>
          <w:sz w:val="24"/>
          <w:szCs w:val="24"/>
        </w:rPr>
        <w:t xml:space="preserve"> – выставляется </w:t>
      </w:r>
      <w:proofErr w:type="gramStart"/>
      <w:r w:rsidRPr="002C3A7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2C3A70">
        <w:rPr>
          <w:rFonts w:ascii="Times New Roman" w:hAnsi="Times New Roman"/>
          <w:sz w:val="24"/>
          <w:szCs w:val="24"/>
        </w:rPr>
        <w:t xml:space="preserve"> если студент проигнорировал данный вид учебного контроля.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3D52A3" w:rsidRPr="007A30F4" w:rsidRDefault="008C7C05" w:rsidP="003D52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>Раздел 2.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Теория этногенеза Л.Н.Гумилева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 Роль </w:t>
      </w:r>
      <w:proofErr w:type="spellStart"/>
      <w:r w:rsidRPr="002C3A70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в образовании и развитии этносов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C3A70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C3A70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C3A70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</w:t>
      </w:r>
      <w:r w:rsidRPr="002C3A70">
        <w:rPr>
          <w:rFonts w:ascii="Times New Roman" w:hAnsi="Times New Roman"/>
          <w:sz w:val="24"/>
          <w:szCs w:val="24"/>
        </w:rPr>
        <w:lastRenderedPageBreak/>
        <w:t>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C3A70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C3A70">
        <w:rPr>
          <w:rFonts w:ascii="Times New Roman" w:hAnsi="Times New Roman"/>
          <w:sz w:val="24"/>
          <w:szCs w:val="24"/>
        </w:rPr>
        <w:t>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C3A70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jc w:val="both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pStyle w:val="ac"/>
              <w:shd w:val="clear" w:color="auto" w:fill="FFFFFF"/>
              <w:spacing w:beforeAutospacing="0" w:afterAutospacing="0"/>
              <w:jc w:val="both"/>
            </w:pPr>
            <w:r w:rsidRPr="002C3A70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70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Ведущий(модератор). </w:t>
      </w:r>
      <w:r w:rsidRPr="002C3A70">
        <w:t>Ведущий должен действовать директивно, жёстко ограничивая во времени участников круглого стола.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C3A70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</w:t>
      </w:r>
      <w:r w:rsidRPr="002C3A70">
        <w:rPr>
          <w:rFonts w:ascii="Times New Roman" w:hAnsi="Times New Roman"/>
          <w:sz w:val="24"/>
          <w:szCs w:val="24"/>
        </w:rPr>
        <w:lastRenderedPageBreak/>
        <w:t>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оценка «2 балла» выставляется </w:t>
      </w:r>
      <w:proofErr w:type="gramStart"/>
      <w:r w:rsidRPr="00C04FE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оценка «0 баллов»  – выставляется </w:t>
      </w:r>
      <w:proofErr w:type="gramStart"/>
      <w:r w:rsidRPr="00C04FE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2.5.2. Диспут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8C7C05" w:rsidRPr="004373C4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 xml:space="preserve">Этническое самосознание и его роль в спортивной деятельности.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C3A70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– плюсы и минусы.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Диспут </w:t>
      </w:r>
      <w:r w:rsidRPr="002C3A70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>Целью семинаров-диспутов</w:t>
      </w:r>
      <w:r w:rsidRPr="002C3A70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  <w:bCs/>
        </w:rPr>
        <w:t xml:space="preserve">Задачей диспута </w:t>
      </w:r>
      <w:r w:rsidRPr="002C3A70">
        <w:t>является подвигнуть студентов к собственным размышлениям), помогая порой выявить решение проблемных вопросов.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от  </w:t>
            </w:r>
            <w:proofErr w:type="gramStart"/>
            <w:r w:rsidRPr="002C3A7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2C3A70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4FE9">
        <w:rPr>
          <w:rFonts w:ascii="Times New Roman" w:hAnsi="Times New Roman"/>
          <w:sz w:val="24"/>
        </w:rPr>
        <w:t xml:space="preserve">оценка «2 балла» выставляется </w:t>
      </w:r>
      <w:proofErr w:type="gramStart"/>
      <w:r w:rsidRPr="00C04FE9">
        <w:rPr>
          <w:rFonts w:ascii="Times New Roman" w:hAnsi="Times New Roman"/>
          <w:sz w:val="24"/>
        </w:rPr>
        <w:t>обучающемуся</w:t>
      </w:r>
      <w:proofErr w:type="gramEnd"/>
      <w:r w:rsidRPr="00C04FE9">
        <w:rPr>
          <w:rFonts w:ascii="Times New Roman" w:hAnsi="Times New Roman"/>
          <w:sz w:val="24"/>
        </w:rPr>
        <w:t xml:space="preserve">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Cs/>
          <w:sz w:val="24"/>
          <w:szCs w:val="24"/>
        </w:rPr>
        <w:t xml:space="preserve">оценка «0 баллов» </w:t>
      </w:r>
      <w:r w:rsidRPr="00C04FE9">
        <w:rPr>
          <w:rFonts w:ascii="Times New Roman" w:hAnsi="Times New Roman"/>
          <w:sz w:val="24"/>
          <w:szCs w:val="24"/>
        </w:rPr>
        <w:t xml:space="preserve"> – выставляется </w:t>
      </w:r>
      <w:proofErr w:type="gramStart"/>
      <w:r w:rsidRPr="00C04FE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w w:val="97"/>
        </w:rPr>
      </w:pPr>
      <w:r w:rsidRPr="002C3A70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8C7C05" w:rsidRPr="002C3A70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8C7C05" w:rsidRPr="004373C4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 xml:space="preserve">Этническое самосознание и его роль в спортивной деятельности.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1.Зарубежные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«5 баллов»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«4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«3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«2 балла»</w:t>
      </w:r>
      <w:r w:rsidRPr="002C3A70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 xml:space="preserve">-  оценка «0 баллов»  </w:t>
      </w:r>
      <w:r w:rsidRPr="002C3A70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</w:t>
      </w:r>
      <w:r w:rsidRPr="002C3A70">
        <w:lastRenderedPageBreak/>
        <w:t xml:space="preserve">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C3A70">
        <w:t>непереработанный</w:t>
      </w:r>
      <w:proofErr w:type="spellEnd"/>
      <w:r w:rsidRPr="002C3A70">
        <w:t xml:space="preserve"> текст другого автора (других авторов).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3D52A3" w:rsidRPr="007A30F4" w:rsidRDefault="008C7C05" w:rsidP="00C04FE9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</w:rPr>
        <w:t>Этнические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ОК означает деньги в ситуации купли-продажи. Этот жест может означать, что собеседник предлагает или требует взятку.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японский спортсмен (вы) на подобный жест тренера- американца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японский спортсме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2. Вы житель Туниса. В вашей стране американский жест ОК означает «Я тебя убью»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тунисский спортсмен (вы) на подобный жест тренера- американца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тунисский спортсме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3. Вы житель Венесуэлы. В вашей стране американский жест ОК имеет ярко выраженный неприлично сексуальный смысл.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тренера- американца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Предположите, как может  отреагировать венесуэльский спортсме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н(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>вы) на подобный жест товарища по команде- американца.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4. Владимир приехал в Иран. Его деловой партнер Махмуд назначил ему встречу в кафе в 11.00  Владимир опоздал и пришел в 11.20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 xml:space="preserve"> К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огда он пришел, то не застал Махмуда в кафе. Владимир подождал еще час и ушел.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Как вы думаете почему Владимир не застал Махмуда?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5. Игорь Петрович – учитель физкультуры в 5-м классе московской школы.  Его урок первый в классе, где учится мальчик из Афганистана Саид  </w:t>
      </w:r>
      <w:proofErr w:type="spellStart"/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Саид</w:t>
      </w:r>
      <w:proofErr w:type="spellEnd"/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обычно приходит практически к концу урока, что не нравится Игорю Петровичу.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А) Как вы думаете, почему Саид опаздывает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?.</w:t>
      </w:r>
      <w:proofErr w:type="gramEnd"/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8C7C05" w:rsidRPr="002C3A70" w:rsidRDefault="008C7C05" w:rsidP="002946D2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8C7C05" w:rsidRPr="002C3A70" w:rsidRDefault="008C7C05" w:rsidP="002946D2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3D52A3" w:rsidRPr="007A30F4" w:rsidRDefault="003D52A3" w:rsidP="002946D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Этнические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4373C4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8C7C05" w:rsidRPr="002C3A70" w:rsidRDefault="008C7C05" w:rsidP="002946D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«4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</w:t>
      </w:r>
      <w:proofErr w:type="spellStart"/>
      <w:r w:rsidRPr="002C3A70">
        <w:rPr>
          <w:rFonts w:ascii="Times New Roman" w:hAnsi="Times New Roman"/>
          <w:sz w:val="24"/>
          <w:szCs w:val="24"/>
        </w:rPr>
        <w:t>употреблениитерминов</w:t>
      </w:r>
      <w:proofErr w:type="spellEnd"/>
      <w:r w:rsidRPr="002C3A70">
        <w:rPr>
          <w:rFonts w:ascii="Times New Roman" w:hAnsi="Times New Roman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«3 балла»</w:t>
      </w:r>
      <w:r w:rsidRPr="002C3A70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8C7C05" w:rsidRPr="002C3A70" w:rsidRDefault="008C7C05" w:rsidP="002946D2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 оценка «2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lastRenderedPageBreak/>
        <w:t xml:space="preserve">-  оценка «0 баллов»  </w:t>
      </w:r>
      <w:r w:rsidRPr="002C3A70">
        <w:t xml:space="preserve">выставляется </w:t>
      </w:r>
      <w:proofErr w:type="gramStart"/>
      <w:r w:rsidRPr="002C3A70">
        <w:t>обучающемуся</w:t>
      </w:r>
      <w:proofErr w:type="gramEnd"/>
      <w:r w:rsidRPr="002C3A70">
        <w:t xml:space="preserve">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C3A70">
        <w:t>непереработанный</w:t>
      </w:r>
      <w:proofErr w:type="spellEnd"/>
      <w:r w:rsidRPr="002C3A70">
        <w:t xml:space="preserve"> текст другого автора (других авторов).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8C7C05" w:rsidRPr="004373C4" w:rsidRDefault="008C7C05" w:rsidP="002946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4373C4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 w:rsidRPr="004373C4">
        <w:rPr>
          <w:rFonts w:ascii="Times New Roman" w:hAnsi="Times New Roman"/>
          <w:b/>
          <w:sz w:val="24"/>
          <w:szCs w:val="24"/>
        </w:rPr>
        <w:t>3</w:t>
      </w:r>
      <w:r w:rsidRPr="004373C4">
        <w:rPr>
          <w:rFonts w:ascii="Times New Roman" w:hAnsi="Times New Roman"/>
          <w:b/>
          <w:sz w:val="24"/>
          <w:szCs w:val="24"/>
        </w:rPr>
        <w:t xml:space="preserve">. </w:t>
      </w:r>
      <w:r w:rsidRPr="004373C4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2.Можно ли считать этническое самосознание </w:t>
      </w:r>
      <w:proofErr w:type="spellStart"/>
      <w:r w:rsidRPr="002C3A70">
        <w:rPr>
          <w:rFonts w:ascii="Times New Roman" w:hAnsi="Times New Roman"/>
          <w:sz w:val="24"/>
          <w:szCs w:val="24"/>
        </w:rPr>
        <w:t>этноопределяющим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признаком?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 Мое видение роли семьи в воспитании детей с редкими (</w:t>
      </w:r>
      <w:proofErr w:type="spellStart"/>
      <w:r w:rsidRPr="002C3A70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) заболеваниями (по итогам просмотра фильма «Маска»). 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4. Как вы относитесь к теории </w:t>
      </w:r>
      <w:proofErr w:type="spellStart"/>
      <w:r w:rsidRPr="002C3A70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="00C0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A70">
        <w:rPr>
          <w:rFonts w:ascii="Times New Roman" w:hAnsi="Times New Roman"/>
          <w:sz w:val="24"/>
          <w:szCs w:val="24"/>
        </w:rPr>
        <w:t>Л.Н.Гумилева</w:t>
      </w:r>
      <w:proofErr w:type="spellEnd"/>
      <w:r w:rsidRPr="002C3A70">
        <w:rPr>
          <w:rFonts w:ascii="Times New Roman" w:hAnsi="Times New Roman"/>
          <w:sz w:val="24"/>
          <w:szCs w:val="24"/>
        </w:rPr>
        <w:t>?</w:t>
      </w:r>
    </w:p>
    <w:p w:rsidR="008C7C05" w:rsidRPr="002C3A70" w:rsidRDefault="008C7C05" w:rsidP="002946D2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C3A70">
        <w:t xml:space="preserve">- оценка «4 балла»    выставляется </w:t>
      </w:r>
      <w:proofErr w:type="gramStart"/>
      <w:r w:rsidRPr="002C3A70">
        <w:t>обучающемуся</w:t>
      </w:r>
      <w:proofErr w:type="gramEnd"/>
      <w:r w:rsidRPr="002C3A70">
        <w:t xml:space="preserve">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2C3A70">
        <w:rPr>
          <w:sz w:val="23"/>
          <w:szCs w:val="23"/>
        </w:rPr>
        <w:t xml:space="preserve">Отсутствуют факты плагиата. </w:t>
      </w:r>
      <w:r w:rsidRPr="002C3A70"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C3A70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8C7C05" w:rsidRPr="002C3A70" w:rsidRDefault="008C7C05" w:rsidP="002946D2">
      <w:pPr>
        <w:pStyle w:val="ac"/>
        <w:shd w:val="clear" w:color="auto" w:fill="FFFFFF"/>
        <w:spacing w:beforeAutospacing="0" w:afterAutospacing="0"/>
        <w:ind w:firstLine="709"/>
        <w:jc w:val="both"/>
        <w:rPr>
          <w:bCs/>
        </w:rPr>
      </w:pPr>
      <w:r w:rsidRPr="002C3A70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lastRenderedPageBreak/>
        <w:t xml:space="preserve">- оценка «0 баллов» </w:t>
      </w:r>
      <w:r w:rsidRPr="002C3A70">
        <w:t>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2C3A70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C7C05" w:rsidRPr="002C3A70" w:rsidRDefault="008C7C05" w:rsidP="002946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8C7C05" w:rsidRPr="002C3A70" w:rsidSect="0029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E0" w:rsidRDefault="000B51E0" w:rsidP="00FB7906">
      <w:pPr>
        <w:spacing w:after="0" w:line="240" w:lineRule="auto"/>
      </w:pPr>
      <w:r>
        <w:separator/>
      </w:r>
    </w:p>
  </w:endnote>
  <w:endnote w:type="continuationSeparator" w:id="0">
    <w:p w:rsidR="000B51E0" w:rsidRDefault="000B51E0" w:rsidP="00F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E0" w:rsidRDefault="000B51E0" w:rsidP="00FB7906">
      <w:pPr>
        <w:spacing w:after="0" w:line="240" w:lineRule="auto"/>
      </w:pPr>
      <w:r>
        <w:separator/>
      </w:r>
    </w:p>
  </w:footnote>
  <w:footnote w:type="continuationSeparator" w:id="0">
    <w:p w:rsidR="000B51E0" w:rsidRDefault="000B51E0" w:rsidP="00FB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4317F36"/>
    <w:multiLevelType w:val="hybridMultilevel"/>
    <w:tmpl w:val="0C2A0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0D0DE1"/>
    <w:multiLevelType w:val="hybridMultilevel"/>
    <w:tmpl w:val="42C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534DD2"/>
    <w:multiLevelType w:val="hybridMultilevel"/>
    <w:tmpl w:val="6E121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77E26DD"/>
    <w:multiLevelType w:val="hybridMultilevel"/>
    <w:tmpl w:val="08AC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E2EDF"/>
    <w:multiLevelType w:val="hybridMultilevel"/>
    <w:tmpl w:val="C93C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B2236C"/>
    <w:multiLevelType w:val="hybridMultilevel"/>
    <w:tmpl w:val="DF50A5D2"/>
    <w:lvl w:ilvl="0" w:tplc="EF96E42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5920F5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6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7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002A40"/>
    <w:multiLevelType w:val="multilevel"/>
    <w:tmpl w:val="8BA8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7FF64348"/>
    <w:multiLevelType w:val="hybridMultilevel"/>
    <w:tmpl w:val="B16E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7"/>
  </w:num>
  <w:num w:numId="21">
    <w:abstractNumId w:val="15"/>
  </w:num>
  <w:num w:numId="22">
    <w:abstractNumId w:val="19"/>
  </w:num>
  <w:num w:numId="23">
    <w:abstractNumId w:val="4"/>
  </w:num>
  <w:num w:numId="24">
    <w:abstractNumId w:val="22"/>
  </w:num>
  <w:num w:numId="25">
    <w:abstractNumId w:val="25"/>
  </w:num>
  <w:num w:numId="26">
    <w:abstractNumId w:val="7"/>
  </w:num>
  <w:num w:numId="27">
    <w:abstractNumId w:val="2"/>
  </w:num>
  <w:num w:numId="28">
    <w:abstractNumId w:val="1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0CF"/>
    <w:rsid w:val="00005839"/>
    <w:rsid w:val="000325CF"/>
    <w:rsid w:val="000677CE"/>
    <w:rsid w:val="00070D6C"/>
    <w:rsid w:val="000B1FDB"/>
    <w:rsid w:val="000B51E0"/>
    <w:rsid w:val="000C3643"/>
    <w:rsid w:val="0014474D"/>
    <w:rsid w:val="00181D92"/>
    <w:rsid w:val="00182483"/>
    <w:rsid w:val="001914E4"/>
    <w:rsid w:val="001B49C5"/>
    <w:rsid w:val="0020523A"/>
    <w:rsid w:val="00205369"/>
    <w:rsid w:val="00212286"/>
    <w:rsid w:val="0022492B"/>
    <w:rsid w:val="00224B6E"/>
    <w:rsid w:val="00226F3F"/>
    <w:rsid w:val="00275200"/>
    <w:rsid w:val="00293875"/>
    <w:rsid w:val="002946D2"/>
    <w:rsid w:val="002A0CE5"/>
    <w:rsid w:val="002B076A"/>
    <w:rsid w:val="002D346F"/>
    <w:rsid w:val="002D609D"/>
    <w:rsid w:val="002F69BB"/>
    <w:rsid w:val="002F7589"/>
    <w:rsid w:val="00307943"/>
    <w:rsid w:val="003137E0"/>
    <w:rsid w:val="003C63FF"/>
    <w:rsid w:val="003D52A3"/>
    <w:rsid w:val="00432755"/>
    <w:rsid w:val="00432F95"/>
    <w:rsid w:val="004373C4"/>
    <w:rsid w:val="00451D5B"/>
    <w:rsid w:val="00476213"/>
    <w:rsid w:val="005007C0"/>
    <w:rsid w:val="00505D3A"/>
    <w:rsid w:val="00544885"/>
    <w:rsid w:val="00564275"/>
    <w:rsid w:val="00587FB2"/>
    <w:rsid w:val="005A030D"/>
    <w:rsid w:val="005C4FD9"/>
    <w:rsid w:val="005E0061"/>
    <w:rsid w:val="005F0918"/>
    <w:rsid w:val="005F4F38"/>
    <w:rsid w:val="00604C6F"/>
    <w:rsid w:val="00607393"/>
    <w:rsid w:val="0063246E"/>
    <w:rsid w:val="006868EB"/>
    <w:rsid w:val="0068701B"/>
    <w:rsid w:val="006A6113"/>
    <w:rsid w:val="006E0B9B"/>
    <w:rsid w:val="006F7BEA"/>
    <w:rsid w:val="0071009D"/>
    <w:rsid w:val="00775008"/>
    <w:rsid w:val="007B25FF"/>
    <w:rsid w:val="007C440B"/>
    <w:rsid w:val="007F1B5C"/>
    <w:rsid w:val="00802C45"/>
    <w:rsid w:val="008608B4"/>
    <w:rsid w:val="008C7C05"/>
    <w:rsid w:val="008F6B80"/>
    <w:rsid w:val="0092242A"/>
    <w:rsid w:val="00944F35"/>
    <w:rsid w:val="009460CF"/>
    <w:rsid w:val="009F1A5F"/>
    <w:rsid w:val="00A10A0E"/>
    <w:rsid w:val="00A16F2E"/>
    <w:rsid w:val="00A41735"/>
    <w:rsid w:val="00A43E84"/>
    <w:rsid w:val="00A805A5"/>
    <w:rsid w:val="00A81E97"/>
    <w:rsid w:val="00A97190"/>
    <w:rsid w:val="00AA02DF"/>
    <w:rsid w:val="00B10D1B"/>
    <w:rsid w:val="00B25995"/>
    <w:rsid w:val="00B75D4A"/>
    <w:rsid w:val="00BB0D13"/>
    <w:rsid w:val="00BB36C0"/>
    <w:rsid w:val="00BE3DD6"/>
    <w:rsid w:val="00C04FE9"/>
    <w:rsid w:val="00C07508"/>
    <w:rsid w:val="00C26D4A"/>
    <w:rsid w:val="00CA3960"/>
    <w:rsid w:val="00D279F9"/>
    <w:rsid w:val="00D35EB8"/>
    <w:rsid w:val="00D36BE5"/>
    <w:rsid w:val="00D44D48"/>
    <w:rsid w:val="00D57B7D"/>
    <w:rsid w:val="00DB79BC"/>
    <w:rsid w:val="00DC3585"/>
    <w:rsid w:val="00DE5AB8"/>
    <w:rsid w:val="00E133D7"/>
    <w:rsid w:val="00E35856"/>
    <w:rsid w:val="00E869B0"/>
    <w:rsid w:val="00EC57AA"/>
    <w:rsid w:val="00EE73A9"/>
    <w:rsid w:val="00F01C91"/>
    <w:rsid w:val="00F11AA7"/>
    <w:rsid w:val="00F379AE"/>
    <w:rsid w:val="00F534FB"/>
    <w:rsid w:val="00F54379"/>
    <w:rsid w:val="00F75453"/>
    <w:rsid w:val="00F825B3"/>
    <w:rsid w:val="00FB7906"/>
    <w:rsid w:val="00FC48B3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5EB8"/>
    <w:pPr>
      <w:ind w:left="720"/>
      <w:contextualSpacing/>
    </w:pPr>
  </w:style>
  <w:style w:type="character" w:customStyle="1" w:styleId="s1">
    <w:name w:val="s1"/>
    <w:uiPriority w:val="99"/>
    <w:rsid w:val="00A43E8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10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nhideWhenUsed/>
    <w:rsid w:val="0022492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2492B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rsid w:val="0022492B"/>
    <w:rPr>
      <w:rFonts w:eastAsia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FB7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B7906"/>
    <w:rPr>
      <w:sz w:val="22"/>
      <w:szCs w:val="22"/>
      <w:lang w:eastAsia="en-US"/>
    </w:rPr>
  </w:style>
  <w:style w:type="character" w:customStyle="1" w:styleId="ab">
    <w:name w:val="Привязка сноски"/>
    <w:rsid w:val="00FB7906"/>
    <w:rPr>
      <w:vertAlign w:val="superscript"/>
    </w:rPr>
  </w:style>
  <w:style w:type="paragraph" w:styleId="ac">
    <w:name w:val="Normal (Web)"/>
    <w:basedOn w:val="a"/>
    <w:uiPriority w:val="99"/>
    <w:qFormat/>
    <w:rsid w:val="00FB7906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 сноски1"/>
    <w:basedOn w:val="a"/>
    <w:semiHidden/>
    <w:unhideWhenUsed/>
    <w:rsid w:val="00FB79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rsid w:val="00FB7906"/>
  </w:style>
  <w:style w:type="paragraph" w:customStyle="1" w:styleId="p5">
    <w:name w:val="p5"/>
    <w:basedOn w:val="a"/>
    <w:rsid w:val="00BB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8380.html%20" TargetMode="External"/><Relationship Id="rId18" Type="http://schemas.openxmlformats.org/officeDocument/2006/relationships/hyperlink" Target="http://www.iprbookshop.ru/43914.html%2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prbookshop.ru/69570.html%20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808.html%20" TargetMode="External"/><Relationship Id="rId17" Type="http://schemas.openxmlformats.org/officeDocument/2006/relationships/hyperlink" Target="http://www.iprbookshop.ru/11139.html%2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60046.html%20" TargetMode="External"/><Relationship Id="rId20" Type="http://schemas.openxmlformats.org/officeDocument/2006/relationships/hyperlink" Target="http://www.iprbookshop.ru/64418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3.html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6337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http://www.iprbookshop.ru/85678.html%20" TargetMode="External"/><Relationship Id="rId19" Type="http://schemas.openxmlformats.org/officeDocument/2006/relationships/hyperlink" Target="http://www.iprbookshop.ru/11559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3420.html%20" TargetMode="External"/><Relationship Id="rId14" Type="http://schemas.openxmlformats.org/officeDocument/2006/relationships/hyperlink" Target="https://urait.ru/bcode/450245" TargetMode="External"/><Relationship Id="rId22" Type="http://schemas.openxmlformats.org/officeDocument/2006/relationships/hyperlink" Target="https://urait.ru/bcode/450079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internet.garant.ru/document/redirect/71249184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8256</Words>
  <Characters>47062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Завкафедрой ПиП</cp:lastModifiedBy>
  <cp:revision>11</cp:revision>
  <dcterms:created xsi:type="dcterms:W3CDTF">2021-08-18T09:02:00Z</dcterms:created>
  <dcterms:modified xsi:type="dcterms:W3CDTF">2022-06-21T09:34:00Z</dcterms:modified>
</cp:coreProperties>
</file>